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http://www.bundeskartellamt.de/SharedDocs/Entscheidung/DE/Fallberichte/Kartellverbot/2015/B4-22-06.pdf;jsessionid=875513B878DAEEADE5C1A30696351163.2_cid387?__blob=publicationFile&amp;v=2</w:t>
      </w:r>
    </w:p>
    <w:p>
      <w:r>
        <w:t>Pages translated : 1</w:t>
      </w:r>
    </w:p>
    <w:p/>
    <w:p>
      <w:r>
        <w:rPr>
          <w:b/>
        </w:rPr>
        <w:t>[Pages 1–1]</w:t>
      </w:r>
    </w:p>
    <w:p>
      <w:r>
        <w:t>Case Report June 12, 2015</w:t>
      </w:r>
    </w:p>
    <w:p>
      <w:r>
        <w:t>Domestic Interchange Fees for MasterCard and Visa Credit Card Transactions in Germany: Federal Cartel Office Terminates Proceedings.</w:t>
      </w:r>
    </w:p>
    <w:p>
      <w:r>
        <w:t>Sector: Financial Services</w:t>
      </w:r>
    </w:p>
    <w:p>
      <w:r>
        <w:t>File Number: B4 – 22/06</w:t>
      </w:r>
    </w:p>
    <w:p>
      <w:r>
        <w:t>Date of Decision: June 3, 2015</w:t>
      </w:r>
    </w:p>
    <w:p>
      <w:r>
        <w:t>The Federal Cartel Office has terminated the administrative proceedings for reviewing the domestic interchange fees for MasterCard and Visa credit card transactions. The proceedings originated from a complaint by the German Retail Federation ("HDE"), which was supported by a number of other associations of retail and service companies. The subject of the proceedings was the fees to be paid by the bank of the card-accepting company to the card-issuing bank for domestic credit card payments with MasterCard and Visa credit cards. The Federal Cartel Office examined to what extent the joint determination of such fees by the card-issuing banks violates European and national antitrust law. The regulation (EU) No. 2015/751, which came into force on June 8, 2015, provides for a fundamental limitation of interchange fees for consumer credit cards to a maximum of 0.3% of the respective card turnover, effective from December 9, 2015. In addition, further regulations are established to improve the competitive conditions in the card payment markets.</w:t>
      </w:r>
    </w:p>
    <w:p>
      <w:r>
        <w:t>In this context, the Federal Cartel Office has now concluded the antitrust administrative proceedings. In exercising its discretion, the Federal Cartel Office particularly considered that no significant market distortions are expected until the upper limits come into effect, which would necessitate the continuation of the proceedings. Significant shifts in market shares to the detriment of (from the merchants' perspective favorable) card payment systems, which have already reduced their interchange fees due to commitments to the European Commission, are unlikely based on the information available to the Federal Cartel Office. The termination of the administrative proceedings does not prevent affected merchants from pursuing claims against interchange fees through civil law, including for past effects.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