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German</w:t>
      </w:r>
    </w:p>
    <w:p>
      <w:r>
        <w:t>Source URL       : http://www.bundeskartellamt.de/SharedDocs/Entscheidung/DE/Fallberichte/Fusionskontrolle/2012/B4-29-11.pdf;jsessionid=F5A810EA7D5238684FF79847F2D83CAE.2_cid387?__blob=publicationFile&amp;v=4</w:t>
      </w:r>
    </w:p>
    <w:p>
      <w:r>
        <w:t>Pages translated : 1</w:t>
      </w:r>
    </w:p>
    <w:p/>
    <w:p>
      <w:r>
        <w:rPr>
          <w:b/>
        </w:rPr>
        <w:t>[Pages 1–1]</w:t>
      </w:r>
    </w:p>
    <w:p>
      <w:r>
        <w:t xml:space="preserve">Case Report January 20, 2012  </w:t>
        <w:br/>
        <w:t xml:space="preserve">Divestiture Proceedings Tönsmeier / Holtmeyer Discontinued  </w:t>
        <w:br/>
        <w:t xml:space="preserve">Sector: Waste Management  </w:t>
        <w:br/>
        <w:t xml:space="preserve">File Number: B4 - 29/11  </w:t>
        <w:br/>
        <w:t xml:space="preserve">Date of Decision: January 10, 2012  </w:t>
        <w:br/>
        <w:t xml:space="preserve">In March 2011, Städtereinigung Holtmeyer GmbH &amp; Co. KG was acquired by the Tönsmeier Group. The merger was executed without prior notification to the Federal Cartel Office. Since April 2011, the Federal Cartel Office has been reviewing the acquisition in divestiture proceedings pursuant to § 41 para. 3 GWB. Consequently, the Holtmeyer Group continued to be managed by the previous owners initially.  </w:t>
        <w:br/>
        <w:t xml:space="preserve">The parties involved in the merger hold high market shares in some of the markets affected by the merger. In the geographical market delineation for the collection and transport of residual waste, waste paper, and organic waste, the Federal Cartel Office based its assessment on a 100 km radius around Georgsmarienhütte (route planner distance). In these three markets, the shares of Tönsmeier and Holtmeyer, together with Remondis, exceed the presumption of market dominance (§ 19 para. 3 sentence 2 GWB).  </w:t>
        <w:br/>
        <w:t>A detailed competitive assessment of the merger was ultimately not necessary. The calculation of the revenues of the parties involved in the merger showed that exceeding the €500 million threshold (§ 35 para. 1 GWB) depended on whether the joint venture Zentek was jointly controlled by the Tönsmeier Group. Since the Tönsmeier Group sold its shares in Zentek in December 2011 (B4 - 97/11), the divestiture proceedings have now been discontinued.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