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http://www.bundeskartellamt.de/SharedDocs/Entscheidung/DE/Entscheidungen/Kartellverbot/2007/B4-31-05.pdf;jsessionid=3282AD027A2F1AFB0FC0109E3F53615D.2_cid378?__blob=publicationFile&amp;v=3</w:t>
      </w:r>
    </w:p>
    <w:p>
      <w:r>
        <w:t>Pages translated : 87</w:t>
      </w:r>
    </w:p>
    <w:p/>
    <w:p>
      <w:r>
        <w:rPr>
          <w:b/>
        </w:rPr>
        <w:t>[Pages 1–3]</w:t>
      </w:r>
    </w:p>
    <w:p>
      <w:r>
        <w:t xml:space="preserve">Bundeskartellamt 53113 Bonn  </w:t>
        <w:br/>
        <w:t xml:space="preserve">4. Decision Division Kaiser-Friedrich-Str. 16  </w:t>
        <w:br/>
        <w:t xml:space="preserve">B4 – 31/05  </w:t>
        <w:br/>
        <w:t xml:space="preserve">Telephone: (0228) 94 99 - 437  </w:t>
        <w:br/>
        <w:t xml:space="preserve">Central: (0228) 9499-0  </w:t>
        <w:br/>
        <w:t xml:space="preserve">Fax: (0228) 9499-154  </w:t>
        <w:br/>
        <w:t xml:space="preserve">FOR PUBLICATION  </w:t>
        <w:br/>
        <w:t xml:space="preserve">ADMINISTRATIVE PROCEDURE  </w:t>
        <w:br/>
        <w:t xml:space="preserve">ORDER PURSUANT TO  </w:t>
        <w:br/>
        <w:t xml:space="preserve">§ 32 GWB  </w:t>
        <w:br/>
        <w:t xml:space="preserve">Decision  </w:t>
        <w:br/>
        <w:t xml:space="preserve">In the administrative procedure  </w:t>
        <w:br/>
        <w:t xml:space="preserve">1. Insurance Community for Economic Auditing and Trust Services  </w:t>
        <w:br/>
        <w:t xml:space="preserve">Dotzheimer Str. 23  </w:t>
        <w:br/>
        <w:t xml:space="preserve">65185 Wiesbaden  </w:t>
        <w:br/>
        <w:t xml:space="preserve">– Party 1 –  </w:t>
        <w:br/>
        <w:t xml:space="preserve">2. Allianz Versicherungs-AG  </w:t>
        <w:br/>
        <w:t xml:space="preserve">Königinstraße 28  </w:t>
        <w:br/>
        <w:t xml:space="preserve">80802 Munich  </w:t>
        <w:br/>
        <w:t xml:space="preserve">– Party 2 –  </w:t>
        <w:br/>
        <w:t xml:space="preserve">3. AXA Versicherung AG  </w:t>
        <w:br/>
        <w:t xml:space="preserve">Colonia-Allee 10-20  </w:t>
        <w:br/>
        <w:t xml:space="preserve">51067 Cologne  </w:t>
        <w:br/>
        <w:t xml:space="preserve">– Party 3 –  </w:t>
        <w:br/>
        <w:t xml:space="preserve">4. R+V Allgemeine Versicherung AG  </w:t>
        <w:br/>
        <w:t xml:space="preserve">Taunusstraße 1  </w:t>
        <w:br/>
        <w:t xml:space="preserve">65193 Wiesbaden  </w:t>
        <w:br/>
        <w:t xml:space="preserve">– Party 4 –  </w:t>
        <w:br/>
        <w:t xml:space="preserve">5. Victoria Versicherung Aktiengesellschaft  </w:t>
        <w:br/>
        <w:t xml:space="preserve">Victoriaplatz 1  </w:t>
        <w:br/>
        <w:t xml:space="preserve">40477 Düsseldorf  </w:t>
        <w:br/>
        <w:t xml:space="preserve">– Party 5 –  </w:t>
        <w:br/>
        <w:t xml:space="preserve">Authorized representative for Parties 1 to 5: Attorney Jochen Burrichter  </w:t>
        <w:br/>
        <w:t>Hengeler Mueller</w:t>
      </w:r>
    </w:p>
    <w:p>
      <w:r>
        <w:t xml:space="preserve">2  </w:t>
        <w:br/>
        <w:t xml:space="preserve">Benrather Straße 18-20  </w:t>
        <w:br/>
        <w:t xml:space="preserve">40213 Düsseldorf  </w:t>
        <w:br/>
        <w:t xml:space="preserve">6. Chamber of Public Accountants  </w:t>
        <w:br/>
        <w:t xml:space="preserve">Public Law Corporation  </w:t>
        <w:br/>
        <w:t xml:space="preserve">Rauchstraße 26  </w:t>
        <w:br/>
        <w:t xml:space="preserve">10787 Berlin  </w:t>
        <w:br/>
        <w:t xml:space="preserve">– Joined Party 1 –  </w:t>
        <w:br/>
        <w:t xml:space="preserve">Authorized representative for Party 6: Attorney Ulrich Quack  </w:t>
        <w:br/>
        <w:t xml:space="preserve">WilmerHale  </w:t>
        <w:br/>
        <w:t xml:space="preserve">Friedrichstraße 95  </w:t>
        <w:br/>
        <w:t xml:space="preserve">10117 Berlin  </w:t>
        <w:br/>
        <w:t xml:space="preserve">7. IDW Institute of Public Auditors in Germany e.V.  </w:t>
        <w:br/>
        <w:t xml:space="preserve">Auditor House  </w:t>
        <w:br/>
        <w:t xml:space="preserve">Tersteegenstraße 14  </w:t>
        <w:br/>
        <w:t xml:space="preserve">40474 Düsseldorf  </w:t>
        <w:br/>
        <w:t xml:space="preserve">– Joined Party 2 –  </w:t>
        <w:br/>
        <w:t xml:space="preserve">Authorized representative for Party 7: Attorney Dr. Markus Wirtz  </w:t>
        <w:br/>
        <w:t xml:space="preserve">Glade Michel Wirtz  </w:t>
        <w:br/>
        <w:t xml:space="preserve">Corporate &amp; Competition  </w:t>
        <w:br/>
        <w:t xml:space="preserve">Blumenstr. 14  </w:t>
        <w:br/>
        <w:t xml:space="preserve">40212 Düsseldorf  </w:t>
        <w:br/>
        <w:t xml:space="preserve">to examine a violation of Art. 81 EC and § 1 GWB, the  </w:t>
        <w:br/>
        <w:t xml:space="preserve">4. Decision Division of the Bundeskartellamt decided on August 10, 2007:  </w:t>
        <w:br/>
        <w:t xml:space="preserve">1. The cooperation of Parties 2 to 5, which operates jointly in the framework of the activities of Party 1 to insure property damage liability risks for domestic auditors, auditing firms, sworn auditors, and auditing companies as well as cooperative auditing associations in the form of co-insurance, violates – insofar as it does not concern the property damage liability insurance of the internationally active auditing firms Ernst &amp; Young AG Wirtschaftsprüfungsgesellschaft, Stuttgart, KPMG Deutsche Treuhand-Gesellschaft Aktiengesellschaft Wirtschaftsprüfungsgesellschaft, Berlin, PwC Deutsche Revision AG Wirtschaftsprüfungsgesellschaft, Frankfurt am Main, Deloitte &amp; Touche GmbH Wirtschaftsprüfungsgesellschaft, Munich, (hereinafter referred to as the "Big 4") – Art. 81 of the Treaty establishing the European Community (EC) or § 1 of the Act against Restraints of Competition (GWB).  </w:t>
        <w:br/>
        <w:t xml:space="preserve">2. To the extent that the contracts of Party 1 within the framework of the cooperation of Parties 2 to 5 include the insurance of property damage liability risks for domestic auditors, auditing firms, sworn auditors, and auditing companies as well as cooperative auditing associations and do not relate to the insurance of the "Big 4," Party 1, as far as it is authorized to do so, is instructed, in addition to Party 2 as the leader of the co-insurance community, pursuant to § 32(1) and (2) GWB in conjunction with § 1 GWB and Art. 81(1) EC, to terminate these contracts by no later than December 31, 2008, and not to renew them within the framework of the activities of Party 1. If, due to a multi-year contractual situation existing at the time of the issuance of the decision, a timely termination by December 31, 2008, is not possible, the affected contracts are to be terminated at the earliest possible date and not renewed within the framework of the cooperation of Parties 2 to 5.  </w:t>
        <w:br/>
        <w:t xml:space="preserve">3. Parties 2 to 5 are prohibited from entering into multi-year contracts in the framework of their cooperation in Party 1 for the insurance of property damage liability risks for domestic auditors, auditing firms, sworn auditors, and auditing companies as well as cooperative auditing associations, excluding the "Big 4," starting from January 1, 2008.  </w:t>
        <w:br/>
        <w:t xml:space="preserve">4. Parties 2 to 5 are prohibited from entering into new contracts in the framework of their cooperation in Party 1 for the insurance of property damage liability risks for domestic auditors, auditing firms, sworn auditors, and auditing companies as well as cooperative auditing associations, excluding the "Big 4," starting from January 1, 2009.  </w:t>
        <w:br/>
        <w:t>5. The cooperation of Parties 2 to 5 in the framework of the activities of Party 1 regarding the claims settlement of contracts for the insurance of property damage liability risks existing until December 31, 2008...</w:t>
      </w:r>
    </w:p>
    <w:p>
      <w:r>
        <w:rPr>
          <w:b/>
        </w:rPr>
        <w:t>[Pages 4–6]</w:t>
      </w:r>
    </w:p>
    <w:p>
      <w:r>
        <w:t>4</w:t>
        <w:br/>
        <w:t>liquidation portfolio to be submitted.</w:t>
      </w:r>
    </w:p>
    <w:p>
      <w:r>
        <w:t xml:space="preserve">6. The fee for this decision is set at </w:t>
        <w:br/>
        <w:t>[...]</w:t>
        <w:br/>
        <w:t xml:space="preserve">(in words: [...]) </w:t>
        <w:br/>
        <w:t>and imposed jointly and severally on Parties 1 to 5.</w:t>
      </w:r>
    </w:p>
    <w:p>
      <w:r>
        <w:t xml:space="preserve">REASONS </w:t>
        <w:br/>
        <w:t xml:space="preserve">A. Facts </w:t>
        <w:br/>
        <w:t xml:space="preserve">I. Cooperation of Parties 2 to 5 within the Framework of the Activities of Party 1. </w:t>
        <w:br/>
        <w:t xml:space="preserve">1. Party 1 is a consortium of Parties 2 to 5 in the form of a permanent co-insurance community. Party 1 was established in the 1930s by government order. After the war, Nordstern Allgemeine Versicherung AG, as the former leading insurer, utilized the then-existing customer database of Party 1 and maintained the activities of Party 1 for private insurers. </w:t>
        <w:br/>
        <w:t xml:space="preserve">2. Parties 2 to 5 are composite insurers; they all belong to financially and resource-strong corporate groups. The parent company of Party 2 is Allianz SE, based in Munich, which is listed on the DAX of the German Stock Exchange and is among the largest insurance and financial services groups in the world. The business purpose of Party 2 is the direct and indirect operation of all branches of private insurance in Germany and abroad, as well as the mediation of insurance, savings contracts, building savings contracts, and other businesses that are closely economically related to the insurance business. Party 3, a corporate entity of AXA S.A., Paris, is one of the leading insurance companies in Germany. Its business purpose is the direct and indirect operation of all branches of private insurance, but in life, legal protection, and health insurance only in reinsurance; the mediation of all types of insurance, building savings, and other savings contracts. Party 4 belongs to the R+V insurance group, the insurance company of the cooperative banking group; it is also one of the largest German insurance groups and offers individual insurance solutions of all kinds to private and corporate clients. Party 5, in turn, belongs to the Ergo Group, one of the largest insurance groups in Germany and Europe. The major shareholder of ERGO AG is Münchener Rück. As a classic insurer and financial service provider, Party 5 offers a wide range of products in the areas of private and commercial insurance, retirement planning, financing, and investments. </w:t>
        <w:br/>
        <w:t xml:space="preserve">3. According to § 1 of its articles of association, Party 1 is a consortium of Parties 2 to 5 for the purpose of jointly operating professional liability insurance for auditors, auditing firms, sworn auditors, and auditing companies, as well as tax consultants, tax consulting firms, tax representatives, and cooperative auditing associations in the form of co-insurance. </w:t>
        <w:br/>
        <w:t xml:space="preserve">4. Parties 2 to 5 are involved in the joint business of Party 1 according to [a quota arrangement]. The quotas specify the [...] percentage to which Parties 2 to 5 are entitled and obligated, respectively, from the contracts concluded with policyholders, excluding any joint and several liability. [...] </w:t>
        <w:br/>
        <w:t xml:space="preserve">5. The issuance of insurance policies and endorsements is carried out in open co-insurance by Party 1 under the designation "Insurance Office for Economic Auditing and Trust Services" (§ 3 of the articles of association). </w:t>
        <w:br/>
        <w:t xml:space="preserve">6. The organs, management, and accounting of Party 1 are regulated in its articles of association, Part II. According to this, the organs of Party 1 are the leading insurer, the member committee, and the general assembly of members. The task of the leading insurer – currently Party 2 – is to manage the ongoing business. Party 2 has authorized Party 1 as the leading insurer, in agreement with the member committee, as a special administrative body for the management of ongoing business (§ 7 of the articles of association). </w:t>
        <w:br/>
        <w:t xml:space="preserve">7. As the leading insurer, Party 2 has </w:t>
        <w:br/>
        <w:t xml:space="preserve">a) [...]; </w:t>
        <w:br/>
        <w:t xml:space="preserve">b) [...]; </w:t>
        <w:br/>
        <w:t xml:space="preserve">c) [...]; </w:t>
        <w:br/>
        <w:t xml:space="preserve">d) [...]. </w:t>
        <w:br/>
        <w:t xml:space="preserve">8. Party 1 is responsible for the conclusion and management of contracts as well as claims handling. It acts independently towards customers as a provider of professional liability (hereinafter: VSH) insurance for auditors, auditing firms, sworn auditors, and auditing companies (hereinafter collectively referred to as: WP/vBP). However, the risk for the insurance contracts is borne by Parties 2 to 5 in accordance with the quota arrangement agreed upon in the articles of association of Party 1. </w:t>
        <w:br/>
        <w:t>9. Party 1 must prepare a preliminary profit and loss statement for the self-retention of Parties 2 to 5 by December 1 of each year and a final profit and loss statement by March 31 of the following year according to the scheme set out in § 9 of the articles of association and submit it to the member committee. It must also provide the member committee with the relevant documents for assessing the business results regarding the composition and valuation of the insurance...</w:t>
      </w:r>
    </w:p>
    <w:p>
      <w:r>
        <w:rPr>
          <w:b/>
        </w:rPr>
        <w:t>[Pages 7–9]</w:t>
      </w:r>
    </w:p>
    <w:p>
      <w:r>
        <w:t>7</w:t>
        <w:br/>
        <w:t>portfolio, insurance benefits, reserves, and their settlement for each insurance group.</w:t>
      </w:r>
    </w:p>
    <w:p>
      <w:r>
        <w:t>10. Party 1 "offers policyholders insurance coverage (protection) in the event that they are held liable by another party for a financial loss due to a violation committed by themselves or a person for whom they are responsible while exercising their professional activity based on statutory liability provisions of a private law nature" (Party 1: Part 1 General Terms and Conditions of Insurance (AVB) A. Insurance Coverage, § 1). In the event that a professional makes a professional error due to negligence, they are liable for damages arising from faulty advice/examination to the client. Financial losses are damages that are neither personal injuries (death, bodily injury, or harm to the health of individuals) nor property damages (damage, destruction, loss, or disappearance of property, including money and monetary equivalents), nor are they derived from such damages caused by a policyholder or a person for whom they are responsible. The professional liability insurance (hereinafter: VSH insurance) covers "genuine" financial losses.</w:t>
      </w:r>
    </w:p>
    <w:p>
      <w:r>
        <w:t>11. For VSH insurances, the principle of violation generally applies in Germany. The principle of violation defines the violation as the reference point for the insured event, meaning that only the time of the breach of duty is relevant. Any breach of duty that falls within the period between the start and end of the insurance contract is insured, provided that the other insurance requirements are met (there is unlimited retroactive liability). In contrast, the claims-made principle is linked to the time of asserting the claim. The obligation to perform established during the insurance period continues to exist under the principle of violation even after the contract has ended, unlike the claims-made principle.</w:t>
      </w:r>
    </w:p>
    <w:p>
      <w:r>
        <w:t>II. Procedure</w:t>
      </w:r>
    </w:p>
    <w:p>
      <w:r>
        <w:t>12. In February 2005, the decision-making department informed Parties 1 to 5 about the initiation of an administrative procedure. According to Art. 11 (3) of Regulation (EC) No. 1/2003 of the Council of December 16, 2002, for the implementation of the competition rules laid down in Articles 81 and 82 of the Treaty (hereinafter: Reg. 1/2003), it also published the initiation of the procedure in the network of European competition authorities (European Competition Network – ECN).</w:t>
      </w:r>
    </w:p>
    <w:p>
      <w:r>
        <w:t>13. Against the background of necessary market investigations for the substantive and geographical market delineation, to determine the market structure as well as supplier and consumer behavior, the decision-making department requested information from Parties 1 to 5 and all domestic and foreign competitors named by Party 1, the Federal Financial Supervisory Authority, the intervenor 1, the auditing firms Ernst &amp; Young AG Wirtschaftsprüfungsgesellschaft, Stuttgart (hereinafter E &amp; Y), KPMG Deutsche Treuhand-Gesellschaft Aktiengesellschaft Wirtschaftsprüfungsgesellschaft, Berlin (hereinafter: KPMG), PwC Deutsche Revision AG Wirtschaftsprüfungsgesellschaft, Frankfurt am Main (hereinafter: PwC), and Deloitte &amp; Touche GmbH Wirtschaftsprüfungsgesellschaft, Munich (hereinafter: D &amp; T), insurance brokers, and professional auditors. All respondents answered the information requests. Furthermore, the decision-making department randomly selected policyholders as consumers of VSH insurances to inquire about their demand behavior and the market situation.</w:t>
      </w:r>
    </w:p>
    <w:p>
      <w:r>
        <w:t>14. In a letter dated September 13, 2005, the decision-making department provided Party 1 with an initial evaluation of the market investigations and a preliminary antitrust assessment of its activities. Additionally, during the course of the proceedings, the decision-making department held several discussions with Parties 1 to 5 to discuss market conditions. In light of the antitrust assessment of the decision-making department regarding the cooperation of Parties 2 to 5, Party 1 repeatedly commented on the facts and presented reasons for what it considered the individual exemption capability of Party 1 according to Art. 81(3) EC/§ 2 GWB in a letter dated July 27, 2006.</w:t>
      </w:r>
    </w:p>
    <w:p>
      <w:r>
        <w:t>15. At the request of Parties 5 and 2, discussions took place at the Federal Cartel Office on April 20, 2006, and May 17, 2006. The topics of discussion included in particular the historical development and the necessity of maintaining Party 1 for the insurance of VSH risks for WP/vBP as well as information on the course of the proceedings.</w:t>
      </w:r>
    </w:p>
    <w:p>
      <w:r>
        <w:t>16. In letters dated November 24, 2006, and December 5, 2006, Parties 1 to 5 made proposals for a commitment undertaking according to § 32 b Abs. 1 GWB to avert a possible prohibition order regarding the cooperation of Parties 2 to 5 within the framework of the activities of Party 1. The decision-making department rejected these proposals after thorough examination as fundamentally unsuitable to eliminate the identified antitrust concerns. In a letter dated December 8, 2006, the decision-making department presented its investigation results and antitrust concerns to Parties 1 to 5, as well as the framework of a possible intention to prohibit, and provided them with the opportunity to respond.</w:t>
      </w:r>
    </w:p>
    <w:p>
      <w:r>
        <w:t>17. By decision dated February 1, 2007, the Chamber of Public Accountants (WPK), Berlin, and the IDW Institute of Auditors in Germany e.V., Düsseldorf, were admitted to the proceedings at their request.</w:t>
      </w:r>
    </w:p>
    <w:p>
      <w:r>
        <w:t>18. Parties 1 to 5 and the intervenors 1 and 2 were granted full access to the files in the proceedings.</w:t>
      </w:r>
    </w:p>
    <w:p>
      <w:r>
        <w:t>19. In a letter dated January 24, 2007, Parties 1 to 5 responded to the letter from the decision-making department dated December 8, 2006. Furthermore, the managing director of Party 1 and the responsible board members of Parties 2, 3, and 5 orally explained significant points of cooperation in a joint meeting at the Federal Cartel Office on March 21, 2007, and raised the question and possible effects of an immediate enforceability of the order.</w:t>
      </w:r>
    </w:p>
    <w:p>
      <w:r>
        <w:t>20. The intervenors 1 and 2 jointly presented their view of the facts in a meeting on March 28, 2007, at the Federal Cartel Office. Furthermore, the WPK is the professional organization of all auditors, sworn auditors, auditing firms, and accounting firms in Germany. It is a public law corporation. The IDW unites auditors and auditing firms in Germany on a voluntary basis. The IDW publishes statements on auditing standards, opinions on accounting, standards, audit guidelines, accounting guidelines, among others, to promote the activities of WP/vBP (see also: http://www.idw.de/idw/generator/id=281114.html).</w:t>
      </w:r>
    </w:p>
    <w:p>
      <w:r>
        <w:rPr>
          <w:b/>
        </w:rPr>
        <w:t>[Pages 10–12]</w:t>
      </w:r>
    </w:p>
    <w:p>
      <w:r>
        <w:t>10</w:t>
        <w:br/>
        <w:t>Furthermore, the intervenor 2 submitted a written statement regarding the proceedings on May 11, 2007, and intervenor 1 submitted a written statement on June 7, 2007.</w:t>
      </w:r>
    </w:p>
    <w:p>
      <w:r>
        <w:t>B. Legal Assessment</w:t>
        <w:br/>
        <w:t>I. Examination under Article 81 EC/§ 1 GWB</w:t>
        <w:br/>
        <w:t>21. According to Art. 81(1) EC, all agreements between undertakings that are capable of affecting trade between Member States and that have the object or effect of preventing, restricting, or distorting competition within the Common Market are incompatible with the Common Market and prohibited. Under § 1 GWB, agreements between undertakings that have the object or effect of preventing, restricting, or distorting competition are prohibited. However, the aforementioned agreements are exempt if they meet the conditions set out in Art. 81(3) EC or § 2 GWB.</w:t>
      </w:r>
    </w:p>
    <w:p>
      <w:r>
        <w:t>22. Pursuant to Art. 1(1) of Regulation 1/2003, in the case of agreements between undertakings within the meaning of Article 81(1) EC that are capable of affecting inter-state trade, Article 81 EC is to be applied in parallel with § 1 GWB. The Bundeskartellamt is responsible for the application of Art. 81 EC in accordance with § 50(1) GWB.</w:t>
      </w:r>
    </w:p>
    <w:p>
      <w:r>
        <w:t>23. The obligation to apply Art. 3(1) of Regulation No. 1/03 is relevant in this case, as the cooperation described above between Parties 2 to 5 within the framework of the activities of Party 1 is capable of affecting inter-state trade. The inter-state trade clause is fulfilled according to the case law of the ECJ when "it can be foreseen with sufficient probability, based on a set of objective circumstances, that the agreement may directly or indirectly, actually or potentially, affect the trade in goods between Member States" (as already stated in ECJ, Case 56/65, Judgment of 1966, p. 281 (303) – Société technique minières/Maschinenbau Ulm).</w:t>
      </w:r>
    </w:p>
    <w:p>
      <w:r>
        <w:t>24. The cooperation of Parties 2 to 5 within the framework of the activities of Party 1 concerns the entire German market for professional liability insurance (VSH) for WP/vBP. Competition-restricting agreements that cover the entire territory of a Member State affect inter-state trade, as they can lead to a consolidation of markets at the national level (cf. ECJ, Judgment of October 17, 1972, Case 8/72, Judgment of 1972, p. 977 (991) – Cementhandelaren).</w:t>
      </w:r>
    </w:p>
    <w:p>
      <w:r>
        <w:t>I.1 Agreement between Undertakings</w:t>
        <w:br/>
        <w:t>25. Party 1 is, according to its articles of association, the "administrative office" for conducting the ongoing business of the co-insurance community operated by Parties 2 to 5 for the insurance of VSH risks for WP/vBP active in Germany and abroad, as well as tax advisors, tax consulting firms, and tax representatives (hereinafter collectively referred to as: StB). Parties 2 to 5 are competing, market-powerful, and resource-rich insurance companies.</w:t>
      </w:r>
    </w:p>
    <w:p>
      <w:r>
        <w:t>26. Co-insurance communities are communities of insurance companies that</w:t>
        <w:br/>
        <w:t>- commit to concluding insurance contracts for a risk class in the name and on behalf of all participating companies, or</w:t>
        <w:br/>
        <w:t>- have the conclusion and settlement of the insurance for a specific risk class carried out by one of the participating companies, a common broker, or an organization created for this purpose in their name and on their behalf.</w:t>
      </w:r>
    </w:p>
    <w:p>
      <w:r>
        <w:t>27. Characteristic of co-insurance communities, and thus also of the cooperation of Parties 2 to 5 within the framework of the activities of Party 1, is that the joint coverage of risks, in this case the coverage of WP/vBP risks, occurs under uniform insurance conditions and gross premiums.</w:t>
      </w:r>
    </w:p>
    <w:p>
      <w:r>
        <w:t>I.2 Market Delineation/Market Definition</w:t>
        <w:br/>
        <w:t>28. The agreement of Parties 2 to 5 within the framework of the activities of Party 1 concerns the market for VSH insurance for WP/vBP, which is geographically limited to Germany.</w:t>
      </w:r>
    </w:p>
    <w:p>
      <w:r>
        <w:t>I.2.1 Delimitation of the Relevant Product Market</w:t>
        <w:br/>
        <w:t>29. The relevant product market is to be determined from the perspective of the demand side (demand market concept). Accordingly, all goods and services that consumers consider substitutable due to their characteristics, price, and intended use form the same product market.</w:t>
      </w:r>
    </w:p>
    <w:p>
      <w:r>
        <w:t>30. An exact delineation of relevant product markets in the insurance sector has so far been left open by the Bundeskartellamt due to a lack of decision-relevant significance. In its guiding letter of December 18, 1981, which can still be referenced for market delineation purposes, the Bundeskartellamt evaluated the existence of model terms and conditions for certain risks as a reference point for market delineation. It also stated that a narrower market definition should be considered when specialized risks within an insurance class are underwritten by only a few insurers.</w:t>
      </w:r>
    </w:p>
    <w:p>
      <w:r>
        <w:t>31. The applicable Insurance Block Exemption Regulation does not contain a definition for market delineation. In the predecessor regulation (Regulation No. 3932/92), the EU Commission (hereinafter: COM) defined the relevant market as "the market for identical or – with regard to the covered risks and offered services – comparable insurance products." In its report to the European Parliament and the Council on the application of Regulation No. 3932/92 (hereinafter: COM Report), the COM stated that the main difficulty in providing an appropriate definition lies in the fact that the structure of the insurance sector follows the classification of risks by insurance classes, and that these branches do not necessarily meet the perception of a relevant product market. Another difficulty is that a community often covers both catastrophic and normal risks simultaneously (COM (1999) 192 of May 12, 1999, para. 28).</w:t>
      </w:r>
    </w:p>
    <w:p>
      <w:r>
        <w:t>32. For market delineation, the COM's announcement regarding the definition of the relevant market can also be referenced. According to this, the relevant product market includes all products and/or services that consumers consider substitutable based on their characteristics, prices, and intended use.</w:t>
      </w:r>
    </w:p>
    <w:p>
      <w:r>
        <w:rPr>
          <w:b/>
        </w:rPr>
        <w:t>[Pages 13–15]</w:t>
      </w:r>
    </w:p>
    <w:p>
      <w:r>
        <w:t>13</w:t>
        <w:br/>
        <w:t>are considered interchangeable or substitutable with regard to their intended use. The competitive forces to which the companies are subject are:</w:t>
        <w:br/>
        <w:t>- Demand substitutability,</w:t>
        <w:br/>
        <w:t>- Supply substitutability (flexibility of supply adjustment), and</w:t>
        <w:br/>
        <w:t>- Potential competition.</w:t>
      </w:r>
    </w:p>
    <w:p>
      <w:r>
        <w:t>33. Supply-side substitutability can be taken into account in defining the relevant product market when it has an equally effective and immediate impact as demand substitutability. This requires that suppliers are able to adjust their production to the relevant products and bring them to market in the short term without incurring significant additional costs or risks. The communication from the Commission states: "Supply substitutability will not be considered in market definition if it would entail significant adjustments to existing tangible and intangible assets, additional investments, strategic decisions, or time delays." The question of potential competition is not to be considered within the framework of market delineation but will only be included when assessing the market position of the companies (see I.3.1).</w:t>
      </w:r>
    </w:p>
    <w:p>
      <w:r>
        <w:t>I.2.1.1 Market Delineation from the Perspective of the Parties</w:t>
        <w:br/>
        <w:t>34. The independence of the market for professional liability insurance (VSH) for legal professions (WP/vBP) represented by the decision-making department is deemed incorrect by Parties 1 to 5. According to the parties, the correct relevant market delineation would result in a broader relevant market. This would at least encompass the entirety of VSH insurance for lawyers, notaries, auditors, and tax advisors (hereinafter collectively referred to as: VSH insurance for RWS professions). It is possible that the affected product market could be delineated even further. No justification for this broad interpretation of the market was presented.</w:t>
      </w:r>
    </w:p>
    <w:p>
      <w:r>
        <w:t>35. The parties justify their relevant market delineation with demand substitutability, decisions previously made in regulatory practice, and statements in the professional literature, as well as an assumed supply substitutability for professional liability insurance (VSH) for legal professions (RWS). The arguments presented in this regard will be addressed in the discussion of the individual criteria.</w:t>
      </w:r>
    </w:p>
    <w:p>
      <w:r>
        <w:t>I.2.1.2 Market Delineation by the Decision Division</w:t>
        <w:br/>
        <w:t>I.2.1.2.1 Professional Liability Insurance for Legal Professions – Commonalities and Differences</w:t>
        <w:br/>
        <w:t>36. Insurance is the offered coverage for specific risks in the event of a loss. From the perspective of the policyholder, the insurance is the consideration provided by the insurance company for the premium payment made to cover the risk; the insurance company's claims payments are made from the premiums collected. The basis for insurance contracts consists of the General Insurance Conditions (AVB) and the respective specific risk descriptions. When applying for an insurance contract, the insurance company must inform the policyholder in writing about the AVB (§ 10 a Insurance Supervision Act - VAG). The AVB necessarily form part of every insurance contract; they are uniformly applied by insurance companies to the multitude of contracts they conclude. The AVB must include the provisions regarding the insurance company's performance obligations and any exclusions of coverage, the type, scope, and due date of the insurance benefit, contractual design rights, as well as the obligations of the policyholder before and after the occurrence of the insured event, the loss of entitlement from the insurance contract in case of deadline failure, the domestic jurisdiction, as well as principles and criteria for participation in surpluses. Despite these General Terms and Conditions, each insurance contract – due to the specific risks to be insured – is a unique product, whose substitutability from the perspective of the policyholder is fundamentally very low.</w:t>
      </w:r>
    </w:p>
    <w:p>
      <w:r>
        <w:t>37. Professional liability insurance (VSH) covers property damages resulting from personal or material damages (so-called "non-genuine" property damages). It is part of numerous professional and business liability insurances and provides coverage in the event that a policyholder is held liable for a violation committed in the course of their professional activity. Property damages are usually insured with a separate premium share alongside the general liability risks primarily to be insured for the specific professional groups.</w:t>
      </w:r>
    </w:p>
    <w:p>
      <w:r>
        <w:t>38. The VSH insurance, which covers property damages regardless of the occurrence of personal or material damages (so-called "genuine" property damages), is offered to professional groups with a necessary need for coverage. It is specifically tailored to those professional groups that can primarily cause property damages through their activities, but not material or personal damages. This includes, for example, claims for lost profits, violations of personal rights, competition law violations, and claims for financial losses (e.g., due to incorrect advice and/or incorrect certification).</w:t>
      </w:r>
    </w:p>
    <w:p>
      <w:r>
        <w:t>39. A distinction within the VSH insurance also appears necessary based on the mandatory insurances arising from professional or occupational regulations. Coverage for "genuine" property damages is excluded from the coverage of the General Liability Insurance according to § 1 No. 1 of the General Insurance Conditions for Liability Insurance (AHB). However, § 1 No. 3 AHB provides that coverage from the liability insurance can be extended to such damages through special agreements. Thus, there is the possibility to insure liability for property damages as follows:</w:t>
        <w:br/>
        <w:t>a) Inclusion of property damages in the General Liability Insurance under the conditions of the AHB, and</w:t>
        <w:br/>
        <w:t>b) Conclusion of a separate VSH insurance under independent General Insurance Conditions for liability insurance for property damages and AVB-WB (AVB Property/WB).</w:t>
      </w:r>
    </w:p>
    <w:p>
      <w:r>
        <w:rPr>
          <w:b/>
        </w:rPr>
        <w:t>[Pages 16–18]</w:t>
      </w:r>
    </w:p>
    <w:p>
      <w:r>
        <w:t>16</w:t>
        <w:br/>
        <w:t>40. The AVB Vermögen/WB do not refer to the AHB and are not special conditions to the AHB. They represent independent general conditions. As a legal basis, the AHB cannot be invoked – not even subsidiarily – so that the general liability insurance constitutes a type of insurance of its own. For this reason alone, they form an independent area within liability insurances. For professional liability insurance for RWS professions, the AVB Vermögen/WB and their modifications in the "Special Conditions" are decisive. The Special Conditions, which precede the AVB as specific norms, are insurance conditions tailored to the individual contract or a specific number of individual contracts and delineate the limits of the risk to be insured. They are, as they positively or negatively delineate the risk to be insured, regularly part of the insurance contract.</w:t>
      </w:r>
    </w:p>
    <w:p>
      <w:r>
        <w:t>41. The insured risk in the VSH insurance for RWS professions is the respective professional activity that arises from the specific professional regulations. Originally, there were two standardized model conditions for RWS professions, the AVB for general risks and the AVB Vermögen/WB for legal, tax, and business consulting professions. Currently, there are specific conditions for each individual regulated profession with the respective risk descriptions tailored to that profession. These are:</w:t>
        <w:br/>
        <w:t>- AVB-A (also referred to as AVB-R) for lawyers and patent attorneys,</w:t>
        <w:br/>
        <w:t>- AVB-S for tax consultants,</w:t>
        <w:br/>
        <w:t>- AVB-N for notaries, and</w:t>
        <w:br/>
        <w:t>- AVB-SP for auditors and sworn accountants.</w:t>
      </w:r>
    </w:p>
    <w:p>
      <w:r>
        <w:t>42. According to the professional legal regulations, RWS professionals are required to provide proof of liability insurance for their licensing. For the profession of notaries, two additional securities are legally required: group insurance and the trust damage fund. The insurance company retains only a limited scope for company-specific insurance conditions that visibly distinguish themselves from other competitors for the professions subject to mandatory insurance – in contrast to those not subject to mandatory insurance.</w:t>
      </w:r>
    </w:p>
    <w:p>
      <w:r>
        <w:t>43. The insurance of WP/vBP has been described by some market respondents as belonging to the medium to heavy risk segment. Characteristic for them is a specific calculation, the insurance (coverage) scope, and the specifics of claims handling. Due to the profession-specific differences among the various RWS professional groups, all providers have profession-specific condition frameworks. Thus, Party 1 has tailored its conditions and premium design as well as the required insurance sums precisely to the specific risk of the WP/vBP and StB professional group.</w:t>
      </w:r>
    </w:p>
    <w:p>
      <w:r>
        <w:t>44. The AVB of Party 1 contain, in addition to a general part, special rules for lawyers and patent attorneys ("BBR-RA"), for StB ("BBR-S"), and for WP/vBP ("BBR-W"). Parties 2 to 5 also insure the individual professional groups – as far as they are active beyond Party 1 – according to their respective Special Conditions. Thus, Party 2 has included Special Conditions and risk descriptions for the individual professional groups in its AVB-RSW (WP/vBP, tax consultants, lawyers, and patent attorneys). Specific conditions and risk descriptions related to the individual professional groups are also evident in the documents of Party 3. Party 4 bases its conditions on the AVB for professional groups that are not regulated and are not subject to mandatory insurance. For the regulated professionals with mandatory insurance, however, the AVP-P applies. [...] According to their presentation, the standard conditions for lawyers, tax consultants, and notaries agree in several points, such as in the definition of financial damage, the principle of breach, and the obligations. However, this argument does not convince for the delineation of a relevant market for VSH insurances for RWS professions in its entirety, as the mentioned points are terms of general validity for large parts of the German legal system. In terms of profession-specific and relevant distinctions for market delineation, the condition frameworks for the RWS professions also differ – in part significantly – at Party 5. This primarily affects the risk description, the amount of deductibles (SB), and the risk-dependent exclusion criteria.</w:t>
      </w:r>
    </w:p>
    <w:p>
      <w:r>
        <w:t>I.2.1.2.2 Specific Legal Requirements for RWS Professions</w:t>
        <w:br/>
        <w:t>45. The services of the insurance company in liability insurance are limited in amount. The insurance sum (identical: coverage sum) represents the maximum amount of the performance owed by the insurance company per insurance case. For the professions subject to mandatory insurance, the professional laws prescribe certain minimum insurance sums and minimum annual maximum benefits that must not be undershot.</w:t>
      </w:r>
    </w:p>
    <w:p>
      <w:r>
        <w:t>46. The VSH insurances of the individual RWS professions are characterized by different minimum insurance sums, also referred to as minimum coverage sums, as the following table shows:</w:t>
        <w:br/>
        <w:t>Professional Group Minimum Coverage in € Legal Basis</w:t>
        <w:br/>
        <w:t>WP/vBP 1,000,000 §§ 54 WPO in conjunction with § 323 Abs. 2 S. 1 HGB</w:t>
        <w:br/>
        <w:t>StB 250,000 § 52 Abs. 3 DVStB</w:t>
        <w:br/>
        <w:t>RA 250,000 § 51 Abs. 4 BRAO</w:t>
        <w:br/>
        <w:t>Notaries 500,000 § 19a Abs. 3 BNotO</w:t>
      </w:r>
    </w:p>
    <w:p>
      <w:r>
        <w:t>47. The statutory minimum coverages reflect particularities in the assessment of the risk to be insured and are reflected in the standard insurance conditions, so that the insurances tailored to the individual RWS professional groups are not easily interchangeable for this reason as well.</w:t>
      </w:r>
    </w:p>
    <w:p>
      <w:r>
        <w:rPr>
          <w:b/>
        </w:rPr>
        <w:t>[Pages 19–21]</w:t>
      </w:r>
    </w:p>
    <w:p>
      <w:r>
        <w:t>19</w:t>
        <w:br/>
        <w:t>48. The minimum coverage amounts that limit the liability of the insurance company are generally available for each individual claim; at the same time, the total payout of the insurance company for all claims in a policy year is usually capped at twice the coverage amount (so-called maximization). An agreement to limit liability is fundamentally possible for all RWS professions, whereby the respective annual maximum payouts are legally prescribed. For WP/vBP, unlike for lawyers and tax advisors, it is not permitted to limit the annual maximum payout to the coverage amount. The minimum coverage amount of €1 million must be available for an unlimited number of claims of WP/vBP in a policy year. The permissible annual maximum payouts for the individual RWS professional groups and the allowable maximum deductibles for policyholders are regulated as follows:</w:t>
        <w:br/>
        <w:t>Professional Group Annual Maximum Payout Maximum Deductible Legal Basis</w:t>
        <w:br/>
        <w:t>WP/vBP Unlimited €10,000 § 54 a WPO, §§ 2(2), 8 WPBHV</w:t>
        <w:br/>
        <w:t>StB €1 million €1,500 § 52(3) DVStB</w:t>
        <w:br/>
        <w:t>RA €1 million €2,500 § 51(4), (5) BRAO</w:t>
        <w:br/>
        <w:t>Notaries €1 million €500 § 19a(3), (4) BNotO</w:t>
        <w:br/>
        <w:t>49. Although the principle of unlimited personal liability exists, § 54 a WPO provides the possibility to counteract this by agreeing to a limitation of liability. The limitation of liability is the annual maximum payout, which determines the maximum insurable benefit by the insurance company. For WP/vBP, the statutory limitation of liability for mandatory audits is regulated in § 323 HGB, according to which liability for negligence is limited to €1 million; for the audit of stock corporations whose shares are admitted to official trading on the market, liability is limited to €4 million. Outside of mandatory audits, only the possibility of contractual liability limitations exists. According to § 54 a(1) and (2) WPO, a client's claim arising from the contractual relationship between them and the WP for compensation of negligently caused damage can be limited by written agreements in individual cases to the amount of the respective minimum insurance sum or by pre-formulated contractual conditions to four times the minimum amount of the insurance sum. For the individual RWS professions, the following picture emerges regarding the limitation of liability:</w:t>
        <w:br/>
        <w:t>Professional Group Individual Agreement Pre-formulated Legal Basis</w:t>
        <w:br/>
        <w:t>Contractual Conditions</w:t>
        <w:br/>
        <w:t>WP/vBP €1 million €4 million § 54a WPO</w:t>
        <w:br/>
        <w:t>StB €250,000 €1 million § 67a StBerG</w:t>
        <w:br/>
        <w:t>RA €250,000 €1 million § 51a BRAO</w:t>
        <w:br/>
        <w:t>50. With regard to § 54 a(1) No. 2 WPO, WP/vBP were predominantly forced, after the enactment of the Law on Control and Transparency in the Corporate Sector 1999 (hereinafter: KonTraG), according to information from Gerling Allgemeine Versicherungs AG (hereinafter: Gerling), to insure a coverage amount of €4 million, as this amount is the essential basis for the effectiveness of a limitation of liability. Gerling further explained the consequences of the KonTraG: "In order not to have to insure the high coverage amounts of the WP for the entire firm, certain segment risks were insured separately, the separation of professions for multiple qualified WPs was carried out, as well as the spin-off of lawyer and tax advisor risks from mixed practices." In particular, auditors have transitioned to a so-called "coverage splitting." This means that the basic coverage or a deemed necessary minimum standard is taken with one insurer, while the additional required insurance coverage is purchased from another national (excess) insurer or through the international market. The Nassau insurance branch in Germany of Nassau Verzekering Maatschappij, Cologne (hereinafter: Nassau Insurance), also pointed out that it had insured some new establishments where the affected auditors were working in interdisciplinary partnerships or firms and had established a separate WPG within the partnership to avoid quality control according to § 57 a WPO for the performance of audit obligations.</w:t>
        <w:br/>
        <w:t>51. The assertion of Party 1 that the supplementary conditions for the individual practitioners of the RWS professions can be compared with coverage extensions, coverage limitations, or with personal tariff distinctions in other types of insurance cannot be followed by the decision-making department. The special conditions do not reflect an adaptation of the insurance coverage to the individual needs of individual policyholders. They only set the legally defined framework and do not allow for consideration of individual customer wishes for the basic coverage. An adaptation of the mandatory insurance coverage to individual needs is thus excluded – at least with regard to the mandatory insurance. The objection of Party 1 that it is recognized and undisputed for goods production that the adaptation of certain products to the individual needs of individual buyers or buyer groups does not lead to the definition of a separate market without manufacturing or functional peculiarities cannot be contradicted. However, it cannot be easily transferred to the relevant area here. On the one hand, insurance products are very specific (tailored to a very specific risk) and therefore not easily comparable to other goods; on the other hand, the transition to VSH insurances for WP/vBP that were not previously present in an insurance company's portfolio is also not easily possible, even after the statements of Party 1. More details on this under Section I.2.1.2.5: Flexibility of Offer Transition.</w:t>
        <w:br/>
        <w:t>I. 2.1.2.3 Distribution, Conclusion, and Processing of VSH Insurances for RWS Professions and WP/vBP in Particular</w:t>
        <w:br/>
        <w:t>52. In the conclusion of contracts, there are no significant differences in VSH insurances for the individual RWS professional groups; nevertheless, individual insurance companies – [...] – instruct their employees to address the WP risk.</w:t>
      </w:r>
    </w:p>
    <w:p>
      <w:r>
        <w:rPr>
          <w:b/>
        </w:rPr>
        <w:t>[Pages 22–24]</w:t>
      </w:r>
    </w:p>
    <w:p>
      <w:r>
        <w:t>22</w:t>
        <w:br/>
        <w:t>only in exceptional cases or not to be underwritten alone, or to comply with specific coordination obligations in this regard.</w:t>
      </w:r>
    </w:p>
    <w:p>
      <w:r>
        <w:t>53. Differences are evident among the individual RWS professional groups regarding the significance of distribution channels. For professional liability insurance (VSH) for WP/vBP professions, it is characteristic that these are predominantly marketed directly by providers and only to a limited extent through brokers. The main reason for this is found in the existing competitive structure, which includes the long-standing dominant market position of Party 1, making the business economically unattractive for many brokers. According to a strong market brokerage firm, the lack of competition in VSH insurance for WP/vBP is a significant feature for the absence of broker offers in the relevant market.</w:t>
      </w:r>
    </w:p>
    <w:p>
      <w:r>
        <w:t>54. Although the requirements for distribution and order management of VSH insurance for RWS professions do not fundamentally differ, additional costs arise for claims processing due to the need for highly specialized employees (preferably with a legal or economic background).</w:t>
      </w:r>
    </w:p>
    <w:p>
      <w:r>
        <w:t>55. According to market participants, the conclusion of annual contracts is characteristic for VSH insurance for WP/vBP; only in exceptional cases are three-year contracts concluded to obtain more favorable conditions. In contrast, in the area of VSH insurance for lawyers, three-year contracts reportedly play a larger role, and even five-year contracts are concluded when corresponding discounts are granted.</w:t>
      </w:r>
    </w:p>
    <w:p>
      <w:r>
        <w:t>56. The assessment of risk conditions and the handling of insurance cases (claims settlement) requires, according to the unanimous information from all market participants, a specific professional qualification (specialized training corresponding to the insured professional group and, if applicable, additional legal training). Claims settlement requires, according to the respondents and particularly also the parties involved, a special (profession-specific) know-how, extensive knowledge of legislation and specific case law, as well as continuous further education to be able to immediately incorporate legislative changes. This leads to high costs for the insurance companies, as stated by Party 5. According to the "Big 4," claims handling in VSH insurance for WP is not a routine mass business but rather the processing of individual cases with various professional-specific aspects, which often require good expertise and high competence from the insurance companies due to the urgent need for resolution. The highest quality standard in claims processing is provided by Party 1 due to its specialization and guaranteed high market position.</w:t>
      </w:r>
    </w:p>
    <w:p>
      <w:r>
        <w:t>57. According to Gerling, the WP risk and – due to the equal treatment under professional law (§ 130 WPO) – the risk of vBP differ from the VSH risks of other RWS professional groups. Recently, a noticeable deterioration in the claims experience for the WP/vBP professional group has emerged, necessitating an increasing need for coverage. Hiscox AG, Munich (hereinafter: Hiscox), has also pointed out the increased claims expenses in the last 2-3 years and the resulting significant increase in the premium level for the insurance of WP/vBP. According to Gerling, the professional group of tax advisors (StB) presents itself as a relatively homogeneous insured community in contrast to the WP/vBP risks, taking into account that sole practices account for 76%, partnerships for just under 10%, and tax consulting companies for 15%.</w:t>
      </w:r>
    </w:p>
    <w:p>
      <w:r>
        <w:t>58. The fact that, according to a statistic from the intervenor 1, nearly 90% of all WPs are also appointed as StBs does not lead, in the assessment of the decision-making department, to the inclusion of StBs in the relevant market and thus not to a broader market delineation. Despite being appointed as StBs, these professionals must insure themselves under the conditions for WP liability. Additionally, multiple-qualified professionals (so-called "multiple bands") usually cover their insurance protection through a single policy with one provider; typically, either the most significant risk, namely the WP risk, is decisive for the premium calculation, or the multiple bands, which are also appointed as WP or vBP, maintain the minimum insurance coverage required for WP professionals of €1 million. If a WP/vBP is also a licensed lawyer, the legal activity – as stated by Party 1 – is always calculated according to the lawyer's tariff. This shows that the tariffs for the individual professional groups are not arbitrarily interchangeable but are subject to specific conditions. Furthermore, the licensing statistics (as of December 31, 2004) in the activity report 2004/2005 of the management of the German Lawyers' Association show that of the lawyers licensed in Germany, 0.42% (555) have a qualification as WP, 0.38% (498) as vBP, and 0.1% (158) as StB, thus qualifying as "multiple bands." Compared to the total number of their professional group, they thus represent a marginal share.</w:t>
      </w:r>
    </w:p>
    <w:p>
      <w:r>
        <w:t>59. According to investigations, interdisciplinary partnerships occupy a special position in insurance law. The insurance contract must meet the individual professional groups. There are two fundamental options for risk coverage in practice:</w:t>
        <w:br/>
        <w:t>a) Individual contracts that are tailored to the specific requirements of the partnership or</w:t>
        <w:br/>
        <w:t>b) a master contract that applies to all partners.</w:t>
        <w:br/>
        <w:t>Even if interdisciplinary partnerships are insured under a master contract, the premium is calculated based on the number of professionals working there, with the premium amount varying for each professional group. Nevertheless, StBs who associate with WPs must insure themselves under the conditions for WP/vBP, unless they only perform original reserved tasks.</w:t>
      </w:r>
    </w:p>
    <w:p>
      <w:r>
        <w:t>60. For each individual professional group, as stated above, there are individual insurance policies to meet the requirements of the mandatory insurance provisions.</w:t>
      </w:r>
    </w:p>
    <w:p>
      <w:r>
        <w:rPr>
          <w:b/>
        </w:rPr>
        <w:t>[Pages 25–27]</w:t>
      </w:r>
    </w:p>
    <w:p>
      <w:r>
        <w:t>25</w:t>
        <w:br/>
        <w:t>The interprofessional collaboration necessitates an alignment of the individual professional regulations. All partners must have the same coverage amount, which must correspond to the highest required individual sum. The minimum requirement arises in individual cases from the strictest professional law. According to § 44 b Abs. 4 WPO, all partners must maintain professional liability insurance that complies with the provisions of the WP Mandatory Insurance Regulation. Even if a partner does not have a license as a WP, they require the higher insurance coverage as soon as one partner holds the license as WP/vBP. If a master policy is concluded, this provides insurance coverage within the framework of the contract based on the General Terms and Conditions (AVB) of the profession represented in the partnership. According to the survey results, the premium is determined by the number of active professionals; the premium amount for each professional group varies. Additionally, even with a master policy, the individual profession-specific risks can be presented to different risk carriers, as stated by Party 5. [...].</w:t>
        <w:br/>
        <w:t>61. [...]. Partnerships generally must accept the premiums for the risk portion of the WP if they do not wish to change the risk carrier at the same time. According to market participants, mixed practices have recently tended to establish separate units for lawyer and tax advisor risks and to insure these at lower rates of the other RWS professions for cost reasons. It was also reported that multiple bands (StB/WP) would return a license to only be subject to one insurance obligation. PwC, which is part of the "Big 4" and whose business areas include auditing, tax consulting, and advisory (business consulting, valuation reports ...), for example, has uniform insurance coverage for all employees regardless of their specific job tasks according to the liability rules of the WP profession. According to lawyer law, employed lawyers who perform this activity as a "secondary activity" must maintain professional liability insurance for their work as a self-employed lawyer "in their main profession." For this, PwC has taken out insurance with another insurance company (this does not affect the professional activity of PwC itself).29 Similarly, other WPGs, such as KPMG, D &amp; T, and E &amp; Y, have concluded uniform insurance coverage with Party 1 for all their employees regardless of their specific professional activity under the liability conditions of WP/vBP.</w:t>
        <w:br/>
        <w:t>62. According to the investigations, professional liability insurances for the individual RWS professions are not readily interchangeable with each other due to the legal requirements regarding liability conditions. To the extent that the "Big 4" or other WPGs subject their entire area of activity to the liability conditions for WP/vBP, this also results from the fact that they must have the WP license as a company. Although there is a one-sided substitutability of RWS professional groups towards professional liability insurances for WP/vBP, it only exists in such a way that the most severe risk, i.e., the WP/vBP risk, must necessarily be insured. The fact that no policyholder would accept a higher and more expensive insurance coverage (higher premiums) than absolutely necessary without convincing reasons also indicates a distinctly relevant product area for professional liability insurances for WP/vBP. To the extent that WP/vBP and StB as well as lawyers perform the same tasks in consulting according to their professional law (have a consulting function) – as stated by Party 1 – they differ in terms of their profession-specific fields of activity30 and, above all, fundamentally regarding the different liability requirements. The essential focus of the WP/vBP is the conduct of business audits and the issuance of confirmation statements regarding the conduct and results of such audits, including the preparation of balance sheets and asset overviews (mandatory audits), expert or consultant activities in all areas of economic management, fiduciary management, and especially consulting in economic matters. The auditor is entitled, due to their training, to also take on the legal processing of matters with which they are professionally involved, but only to the extent that this is related to their immediate tasks.</w:t>
        <w:br/>
        <w:t>30 See, for example, General and Special Insurance Conditions as well as Risk Descriptions for Professional Liability Insurance for Lawyers and Patent Attorneys, Tax Advisors, Auditors, and Certified Public Accountants (AVB-RSW), pp. 8-11</w:t>
      </w:r>
    </w:p>
    <w:p>
      <w:r>
        <w:t>63. According to the statements of the managing director of Party 1, the liability situation is particularly critical regarding the erroneous annual financial statement items with limited audit actions and corresponding audit certificates issued by tax advisors and WPs. In the consulting area, the WP is always involved by their client when it comes to difficult and asset-intensive consulting. The area of structuring tax consulting, i.e., optimizing taxation through corporate structuring, is the domain of the WP, not the tax advisor. According to his statements, this activity leads to very high consulting risks, which usually exceed €1 million.31</w:t>
        <w:br/>
        <w:t>I.2.1.2.4 Unified Market for Basic and Excess Coverage in Professional Liability Insurance for WP/vBP</w:t>
        <w:br/>
        <w:t>64. Basic and excess coverages do not form independent sub-markets but are assigned to a unified market for professional liability insurances for WP/vBP.</w:t>
        <w:br/>
        <w:t xml:space="preserve">65. The term excess coverage is not clearly defined in insurance practice. Originally, it likely refers to insurances that exceed the statutory minimum requirement. However, any insurance coverage that exceeds the basic coverage is often also considered excess. The terms basic and mandatory coverage are sometimes used synonymously. The basic coverage can, but does not have to, correspond with the mandatory insurance sum. It can be assumed that an excess coverage encompasses everything that exceeds the basic coverage, whereby the basic coverage can in turn exceed the mandatory coverage. If the mandatory insurance sum for WP clients is insufficient due to a large dispute value and high risk, the necessity arises to adjust the coverage scope. The simplest option for adjusting the professional liability insurance to the circumstances of the policyholder is to increase the coverage amount in the existing contract. Alternatively, there is the possibility of a separate contract following the existing insurance (even with a basic contract from another insurance company), </w:t>
        <w:br/>
        <w:t>31 RA Dr. Ulf Pohl, Wiesbaden: Liability Risks for Auditors and Tax Advisors; Euroforum Conference on Financial Loss Liability on March 29, 2006, pp. 887 (reverse), 888 d. A.</w:t>
      </w:r>
    </w:p>
    <w:p>
      <w:r>
        <w:rPr>
          <w:b/>
        </w:rPr>
        <w:t>[Pages 28–30]</w:t>
      </w:r>
    </w:p>
    <w:p>
      <w:r>
        <w:t>28</w:t>
        <w:br/>
        <w:t>to conclude a so-called excess contract. The policyholder can be placed, by agreement in excess contracts, as if there were a unified overall coverage in one contract (follow form).</w:t>
      </w:r>
    </w:p>
    <w:p>
      <w:r>
        <w:t>66. The difficulty of positively defining the product of excess insurance already complicates the assumption of an independent market. Reasons of supply and demand substitutability also argue against its independence. Gerling estimates its share of excess coverage in the professional liability portfolio to be below 5%. Gerling justifies this by stating that in mass business, an excess solution is generally not pursued, and established insurance companies can usually provide the requested coverage amounts on their own. According to the findings of the decision-making department, high excess coverages are primarily demanded by larger WPGs, while for the majority of small and medium-sized practitioners, the mandatory or extended basic coverages are sufficient.</w:t>
      </w:r>
    </w:p>
    <w:p>
      <w:r>
        <w:t>67. From the perspective of demand, mandatory or basic coverage and excess coverage are interchangeable, although excess insurance conceptually presupposes that a basic coverage already exists. In substance, however, excess insurance is fully substitutable by increasing the basic coverage amount. Furthermore, so-called splitting models (the combination of a basic coverage or extended basic coverage with one or more excess coverages with one or more insurance companies) compete with total insurance contracts.</w:t>
      </w:r>
    </w:p>
    <w:p>
      <w:r>
        <w:t>68. According to the market survey, all insurance companies – with the exception of Hiscox Insurance Company Ltd., Branch Germany (hereinafter Hiscox) – generally offer basic and extended basic coverages as well as excess insurances. Hiscox states that it is not active in basic coverage because the market was already distributed at the time of market entry. Furthermore, underwriting excess is less burdened by claims, allowing the company to advertise lower premiums for excess coverage. Thus, the underwriting of only excess coverage does not necessarily arise from product differentiation but from market structural conditions.</w:t>
      </w:r>
    </w:p>
    <w:p>
      <w:r>
        <w:t>29</w:t>
        <w:br/>
        <w:t>Basic and excess insurances cannot be easily separated based on the results of the investigations and are thus to be assigned to a unified market in substantive terms. Moreover, it is typical for the domestic relevant market that policyholders traditionally insure their VSH risks with a single insurance company. KPMG has stated, for example, that the company does not want to be confronted with multiple insurance companies, especially in claims settlement, because cost advantages would arise from dealing with a single counterpart.</w:t>
      </w:r>
    </w:p>
    <w:p>
      <w:r>
        <w:t>I. 2.1.2.5 Flexibility of Supply Adjustment</w:t>
        <w:br/>
        <w:t>69. At present, there is no sufficient flexibility of adjustment among insurance companies offering VSH insurances that would justify a unified substantive market for VSH insurances for RWS professions.</w:t>
      </w:r>
    </w:p>
    <w:p>
      <w:r>
        <w:t>70. The flexibility of supply adjustment is high when the requirements for insurance companies in offering an insurance product are the same as for other insurance products and when insurance companies could incorporate differentiated insurance products into their product range at short notice.</w:t>
      </w:r>
    </w:p>
    <w:p>
      <w:r>
        <w:t>71. In contrast to professions that are not subject to compulsory insurance or are not regulated, VSH insurances for RWS professions and for WP/vBP in particular are only offered by a few insurance companies. In an overview prepared by Party 5, the following insurance companies are named as providers of VSH insurance for the domestic market: Parties 2 to 5, Gerling, LVM Versicherungen, AIG Europe Branch for Germany (AIG), DARAG Deutsche Versicherungs- und Rückversicherungs-Aktiengesellschaft, Nürnberger Allgemeine Versicherungs-AG, Signal Iduna SIGNAL IDUNA Allgemeine Versicherung AG, Gothaer Allgemeine Versicherung AG, Zürich Versicherung (Zürich), Versicherungskammer Bayern (VKB), Nassau Versicherungen, Provinzial, Generali Versicherung Aktiengesellschaft, and CHUBB Insurance Company of Europe S. A. Branch for Germany (Chubb).</w:t>
      </w:r>
    </w:p>
    <w:p>
      <w:r>
        <w:t>32 p. 906 d. A.</w:t>
      </w:r>
    </w:p>
    <w:p>
      <w:r>
        <w:t>72. According to market investigations, the following providers underwrite VSH insurances for RWS professional groups. It should be noted that the following overview does not claim to be exhaustive for the professional groups of tax advisors, lawyers, and notaries.</w:t>
        <w:br/>
        <w:t>Insurance Company WP/vBP StB RA Notaries</w:t>
        <w:br/>
        <w:t>Party 1 X X – –</w:t>
        <w:br/>
        <w:t>Party 2 X X X X</w:t>
        <w:br/>
        <w:t>Party 3 only vBP X X X</w:t>
        <w:br/>
        <w:t>Party 4 – X X X</w:t>
        <w:br/>
        <w:t>Party 5 – X X X</w:t>
        <w:br/>
        <w:t>Gerling X X X X</w:t>
        <w:br/>
        <w:t>Gothaer X X X X</w:t>
        <w:br/>
        <w:t>Nassau Versicherungen X X X X</w:t>
        <w:br/>
        <w:t>VKB X X X –</w:t>
        <w:br/>
        <w:t>Hiscox X X X X</w:t>
        <w:br/>
        <w:t>Zürich Versicherung AG X X X X</w:t>
        <w:br/>
        <w:t>Generali Versicherung AG – X X</w:t>
        <w:br/>
        <w:t>SV Sparkassenversicherung – X X</w:t>
        <w:br/>
        <w:t>Nürnberger Versicherung – X X –</w:t>
        <w:br/>
        <w:t>DANV Deutsche Anwalts- und – – X X</w:t>
        <w:br/>
        <w:t>Notarversicherung</w:t>
      </w:r>
    </w:p>
    <w:p>
      <w:r>
        <w:t>73. The objection of Party 1, that all insurance companies that insure lawyers and tax advisors also offer coverage for the WP/vBP risk, was neither confirmed by the surveyed competitors nor by insurance brokers. The market investigations have shown that coverage for medium and larger WP/vBP risks is primarily concentrated on two risk carriers, namely Party 1 and Gerling, whereby [...]. The VKB has stated that, in addition to nationwide active insurance companies, some regional insurers, including the Provincial companies, SV Sparkassenversicherung, and VGH, would cover property damage risks for professions not subject to compulsory insurance as well as for lawyers and tax advisors in their regional business areas. The statement made by Party 1 as...</w:t>
      </w:r>
    </w:p>
    <w:p>
      <w:r>
        <w:rPr>
          <w:b/>
        </w:rPr>
        <w:t>[Pages 31–33]</w:t>
      </w:r>
    </w:p>
    <w:p>
      <w:r>
        <w:t>31</w:t>
        <w:br/>
        <w:t>The direct competitors named, Chubb, ACE, and AIG, state that they do not cover WP/vBP risks domestically. Zurich has pointed out that it does not see itself as a direct competitor of Party 1 and only underwrites WP risks in absolute exceptional cases. As providers of professional liability insurance for lawyers, the Federal Bar Association names, in addition to the insurers mentioned above, AFB GmbH and Westfälische Provinzial Versicherung AG.</w:t>
      </w:r>
    </w:p>
    <w:p>
      <w:r>
        <w:t>74. [...]</w:t>
      </w:r>
    </w:p>
    <w:p>
      <w:r>
        <w:t>75. While VSH risks for lawyers, tax advisors, and notaries are predominantly underwritten individually according to investigations, they assert the necessity of risk diversification in the form of pooling for the insurance of WP/vBP risks. According to a press release from Marsh dated April 17, 2007, Parties 2, 4, and 5 dominate the market for professional liability insurance.</w:t>
      </w:r>
    </w:p>
    <w:p>
      <w:r>
        <w:t>76. Co-insurance gains importance for insurance companies according to the constant interpretation of the insurance industry whenever large or difficult-to-calculate risks exceed the capacity of a single insurer. A significant motivation for co-insurance is access to additional business with relatively low effort. Thus, Parties 2 to 5 have emphasized that underwriting the WP professional liability risk requires collaboration due to the special know-how and the difficulty in calculating the risk. Consequently, VSH insurances for WP/vBP differ from VSH insurances for other RWS professions, whose underwriting has increasingly tended towards individual underwriting in recent years. According to the statement of Party 5, so-called object coverages for lawyers have greater significance; necessary co-insurance communities are typically formed through brokers. In the design of coverage for VSH risks for WP/vBP, insurance companies face tighter constraints compared to the VSH insurance for lawyers, where there is greater room for design. For the insurance of tax advisor risks, the room for design for insurance companies lies between the two previously mentioned professional groups.</w:t>
      </w:r>
    </w:p>
    <w:p>
      <w:r>
        <w:t>77. The board member responsible for liability insurance at Party 2 stated in a conversation with the decision-making department that Party 1 has always been the insurer of WP. [...] There are few insurance companies in the domestic market that underwrite risks for all RWS professions simultaneously.</w:t>
      </w:r>
    </w:p>
    <w:p>
      <w:r>
        <w:t>78. The range of activities of WP/vBP is reflected in a wide spectrum of potential risks. According to market participants, WP/vBP risks are more difficult to calculate than risks from other RWS professions (with the exception of notaries, which present a very specific risk). The reason for this is the relatively low risk compensation of the available contracts and the above-average high damage potential in individual cases, which cannot be reliably calculated either in terms of its concrete amount or the probability of occurrence. The law of large numbers or a statistical risk assessment is therefore not applicable to the same extent in the relevant market as in other insurance sectors. For tariff calculation, this poses a significant fluctuation risk, as individual large loss events can result in massive fluctuations in small portfolios. This could potentially lead to a significant burden on the results for an insurance company (e.g., depletion of premium income from one or more insurance years).</w:t>
      </w:r>
    </w:p>
    <w:p>
      <w:r>
        <w:t>79. The assertion of Party 1 that frequency and severity of claims in other RWS professions can be easily transferred to VSH insurance for WP/vBP and provide a basis for calculation stands in contrast to the survey results. The number of licensed and thus insurance-mandated lawyers is approximately 10-15 times higher than the number of WP/vBP, while the number of insurance-mandated tax advisors is about 5 times higher. According to statements from Meßmer, Swiss Re Germany AG, the risk group of tax advisors and especially lawyers is significantly larger than the risk group of WP/vBP, with the risk segment of lawyers being subject to unstoppable growth.</w:t>
      </w:r>
    </w:p>
    <w:p>
      <w:r>
        <w:t>80. In addition to the number of liability cases, the value of the alleged claims and the potential value of compensation claims must also be considered. The propensity for late damages applies to all RWS professions; however, it was particularly emphasized for WP/vBP by the managing director of Party 1. In his presentation at the EUROFORUM conference on March 29, 2006, he stated, among other things: "The determination of the number of claims reported in a calendar year, a business year, has a relatively limited temporal significance. The claims reported in a business year only involve professional misconduct to a maximum extent of 3% of the claims presented in the same calendar year. The vast majority of claims reported in a business year concern claims whose cause, the professional activity, occurred before the business year. This late damage risk inherently affects any discussion of the liability risk. Thus, it is not seen as an extreme exception if in 2004 a claim or claim complex is reported, the cause of which dates back to 1994 or even earlier. This temporal shift in consideration naturally complicates discussions about today's liability risks of professionals, as these are not known to the professional and their respective insurer." Meßmer arrives at the same assessment in his statements. Meßmer stated that even when late damages occur, their settlement can be prolonged over many years, as the claim notification does not immediately provide the insurance company with certainty about the actual extent of the damage. Often, it can only be determined through extensive investigations how high the damage actually is.</w:t>
      </w:r>
    </w:p>
    <w:p>
      <w:r>
        <w:rPr>
          <w:b/>
        </w:rPr>
        <w:t>[Pages 34–36]</w:t>
      </w:r>
    </w:p>
    <w:p>
      <w:r>
        <w:t>34</w:t>
        <w:br/>
        <w:t>81. The significant risk of late damages has clear implications for insurance companies regarding the reserves that need to be established. The severity of the WP/vBP risks, their extraordinarily high propensity for late damages, and the associated problems in tariff calculation were highlighted by all competitors surveyed in the proceedings. The decision-making department has not received similar statements regarding the other RWS professions, nor were they presented by the parties involved.</w:t>
      </w:r>
    </w:p>
    <w:p>
      <w:r>
        <w:t>82. [...]</w:t>
      </w:r>
    </w:p>
    <w:p>
      <w:r>
        <w:t>83. Considering all of this, and particularly taking into account the market position of Party 1 and the market volume for professional liability insurance for WP/vBP, it is not very likely that, against the backdrop of the current market structure, insurers not previously active in the market will consider expanding their offerings to WP/vBP risks in the short term, without noticeable additional costs and without a strategic repositioning of their business policy. Consequently, the conditions for an effective and immediate consideration of supply substitutability (also in the sense of the Commission's communication on the definition of the relevant market) are currently not met.</w:t>
      </w:r>
    </w:p>
    <w:p>
      <w:r>
        <w:t>I.2.1.2.6 Delimitation of the Relevant Market in Regulatory Practice and Literature</w:t>
      </w:r>
    </w:p>
    <w:p>
      <w:r>
        <w:t>84. The evaluation of previous regulatory decisions and the literature also confirms the market delineation of the decision-making department.</w:t>
      </w:r>
    </w:p>
    <w:p>
      <w:r>
        <w:t>85. Decisions by the Commission regarding the insurance sector do not yet contain a conclusive definition of individual insurance markets or a factual assignment of individual insurance products or product groups to relevant markets. In its decision-making practice regarding Art. 81 EC, the Commission has generally applied a somewhat narrower market delineation than it has in merger control proceedings. However, a detailed justification of the respective market delineation in Art. 81 EC proceedings has not yet been provided, as the respective market delineation either did not raise any issues for the Commission or was not relevant for the decision.</w:t>
      </w:r>
    </w:p>
    <w:p>
      <w:r>
        <w:t>86. In merger control proceedings, the Commission regularly divides the insurance market into the areas of life insurance, non-life insurance, and reinsurance. These areas can, from the Commission's perspective, be subdivided into as many different product markets as there are insurances for different risks. However, since the characteristics, premiums, and uses of the individual insurances differ significantly, the specific insurances are difficult to substitute from the perspective of demand. The Commission has also refrained from providing a conclusive definition of relevant markets in the decisions referred to by Party 1 in its statement dated 06.02.2006 due to a lack of decision relevance. To the extent that the Commission has provided more detailed explanations regarding individual product markets, these were made "for the purpose of the decision." In the case of UNIQUA/Mannheimer, for example, it stated: "that in property insurance, from the perspective of providers, the conditions for insuring various risks are similar and that most large insurance companies offer insurance for multiple risks. This could suggest that different types of property insurance belong to a single product market." However, the Commission did not define a single product market.</w:t>
      </w:r>
    </w:p>
    <w:p>
      <w:r>
        <w:t>87. In the case of Talanx/Gerling, the Commission examined the market for liability insurance more closely due to necessary decision relevance. As a result of its market analysis, it concluded that liability insurances for the basic coverage of pharmaceutical companies form a distinct market. The narrow market delineation made here was primarily justified by a number of specific characteristics of the pharmaceutical sector compared to other industrial sectors, the inherent significant damage potential of product liability for pharmaceuticals, the substantial risk of late damages in this area, and a very limited number of insurance companies available to lead co-insurance communities in the lower layers of liability insurance for German pharmaceutical companies. For detailed justification, reference is made to the decision.</w:t>
      </w:r>
    </w:p>
    <w:p>
      <w:r>
        <w:t>88. Among the competitive forces to which insurance companies are subject is – as stated above – supply substitutability, which must be taken into account when delineating product markets. Regarding its weighting in the insurance industry, the Commission's report stated: "Since each insurance contract is unique and thus demand substitutability is theoretically zero, the actual as well as potential supply substitutability gains importance for the definition of the insurance market." Supply substitutability can be taken into account in the definition of markets when it has the same effective and indirect impact as demand substitutability. However, this requires that providers are able to adjust their production to the relevant products in response to small, permanent changes in the relevant prices and bring them to market in the short term without incurring noticeable additional costs or risks. Only if these conditions are met is supply substitutability equated with demand substitutability. These conditions are not present in this case. To the extent that the insurance position refers to a corresponding consideration by the Commission in the area of the paper industry to explain supply substitutability, this is already flawed due to the lack of even remotely comparable insurance and paper products.</w:t>
      </w:r>
    </w:p>
    <w:p>
      <w:r>
        <w:t>89. The objection of Party 1 that the Federal Cartel Office has broadly defined the relevant market for insurance products in its constant practice, for example, in the activity report of the Federal Cartel Office for the years 1999/2000, which included the entire life insurance...</w:t>
      </w:r>
    </w:p>
    <w:p>
      <w:r>
        <w:rPr>
          <w:b/>
        </w:rPr>
        <w:t>[Pages 37–39]</w:t>
      </w:r>
    </w:p>
    <w:p>
      <w:r>
        <w:t>37</w:t>
        <w:br/>
        <w:t>The market considered as a relevant market is not conducive for the present case. As stated above, the Bundeskartellamt – just like the Commission – has so far been able to leave the definition of the relevant market fundamentally open in its decision-making practice. Even if a uniform product market were to be assumed as relevant in the area of life insurance, no conclusive judgment could be drawn for property insurance and its exact market delineation. Life insurances represent sum insurances that are subject to entirely different conditions. In the case of sum insurances, a previously contractually agreed sum becomes due upon the occurrence of an insured event. In contrast, property insurance covers a specific, measurable damage incurred upon the occurrence of an insured event. The actual amount of damage plays a crucial role in determining the insurance benefit, alongside the contractually agreed limitations (deductible, maximum compensation) and any consideration of underinsurance as well as depreciation based on current value.</w:t>
      </w:r>
    </w:p>
    <w:p>
      <w:r>
        <w:t>90. Party 1 points out that the structure of Annex 1 to the Regulation on Reporting by Insurance Companies in the literature is unanimously regarded as suitable for delineating product markets in the insurance industry. Accordingly, the VSH insurance as a whole should be assumed to be a relevant market. It should be countered that, according to the literature – as well as from the perspective of the decision-making department – the structure is seen only as a first point of reference for market delineation. The structure corresponds solely to supervisory and not to antitrust considerations and is therefore subject to a differentiated examination in its systematics.</w:t>
      </w:r>
    </w:p>
    <w:p>
      <w:r>
        <w:t>91. Party 1 further refers to a publication in the journal Versicherungswirtschaft regarding market delineation in professional liability insurance. The author concludes that the professional liability insurances of the overarching professional groups each form their own product markets. Professional liability insurances for medical practitioners should therefore be assigned to an independent market, as the medical liability has similar legal peculiarities. Special risks of individual specialists do lead to an increase in premiums and possibly coverage amounts; however, for the insurance companies already offering medical liability insurances, it is relatively easy to make an appropriate adjustment for the special risks. Architects and civil engineers also constitute an independent professional group, within which the insurable risk is sufficiently similar. The same applies to the professions of lawyers, notaries, tax advisors, and auditors, as these involve VSH insurances. The author does not address the specifics of VSH insurance for the individual RWS professional groups. He states without further justification that the liability leading to the insurance case is still sufficiently similar from a legal perspective, which is reflected in the uniform general terms and conditions (AVB) for all three professional groups, the AVB-WB. There are specific model conditions for the AVB-WB for the individual professions; due to the liability content and the significant commonalities, these advisory professions could be summarized. It is also argued that individual parts of these professional groups are often connected in practice (e.g., tax advisors and lawyers), which makes it easy to expand the customer base from one segment to another. The author remains superficial in his considerations without examining the demand and supply structure in detail. Therefore, the decision-making department is not convinced by his market delineation.</w:t>
      </w:r>
    </w:p>
    <w:p>
      <w:r>
        <w:t>I.2.2 Delineation of the Geographically Relevant Market</w:t>
        <w:br/>
        <w:t>92. The market for VSH insurances for WP/VBP is limited to the domestic market.</w:t>
      </w:r>
    </w:p>
    <w:p>
      <w:r>
        <w:t>I.2.2.1 Geographical Market Delineation from the Perspective of the Parties</w:t>
        <w:br/>
        <w:t>93. The parties are of the opinion that the primary insurance market for VSH insurance for WP/vBP should not be delineated nationally, but rather at least on a European level. The Commission tends to define a community-wide market not only for industrial business but generally for large risks in its merger control practice. It can be assumed that VSH insurances, at least for large WPG, but also for internationally operating law firms that are significant for the business of Party 1, represent large risks.</w:t>
      </w:r>
    </w:p>
    <w:p>
      <w:r>
        <w:t>I.2.2.2 Geographical Market Delineation by the Decision-Making Department</w:t>
        <w:br/>
        <w:t>94. The geographically relevant market encompasses the area in which the relevant products are regularly offered and demanded, where the competitive conditions are homogeneous, and which is distinguishable from neighboring areas by noticeably different competitive conditions. It is to be delineated according to economic criteria and is therefore not necessarily limited to the scope of the GWB (§ 19 Abs. 2 Satz 3 GWB).</w:t>
      </w:r>
    </w:p>
    <w:p>
      <w:r>
        <w:t>95. A significant indicator for the existence of a national market is the differing distribution of market shares of providers of VSH insurances for WP/vBP domestically and abroad. All surveyed insurance companies indicated that they are not active or only to a limited extent in the relevant market abroad. For Party 1, the share of business with foreign policyholders was only a fraction ([...]) of their total activities. According to Party 1, the insurance of foreign risks is conducted based on the legal provisions applicable in the respective country and on the basis of the claims-made principle. The market survey has shown that all domestic competitors of Party 1 – if at all – only had very limited sales with foreign demanders. The difficulties for foreign business arise primarily from the respective unequal competition, the differing national legislation and specific national jurisprudence, the different limitations on financial burdens for auditors, but not least also from language problems and the necessity of maintaining a national distribution network. However, insurance companies do accompany domestic clients to foreign markets if clients wish so.</w:t>
      </w:r>
    </w:p>
    <w:p>
      <w:r>
        <w:t>96. Foreign providers hardly appear in the German market for VSH insurance for WP/vBP. The only exception is the German...</w:t>
      </w:r>
    </w:p>
    <w:p>
      <w:r>
        <w:rPr>
          <w:b/>
        </w:rPr>
        <w:t>[Pages 40–42]</w:t>
      </w:r>
    </w:p>
    <w:p>
      <w:r>
        <w:t>40</w:t>
        <w:br/>
        <w:t>Subsidiaries of Nassau and Hiscox. After questioning the foreign competitors named by Party 1 regarding their activities in Germany, ACE stated that they had not generated any revenues domestically in the relevant market. The Reliance Insurance Company is in liquidation according to its own website. Chubb only offers D&amp;O insurance, i.e., insurance for risks arising from organizational liability/management activities, in Germany. The activities of the English Hiscox (London market) are limited to excess coverage and are negligible in relation to the total market volume, as the market investigations have shown. The investigation results are also consistent with the annual report of BaFin for the year 2006. It is noted in that report regarding the business operations of foreign property/casualty insurers in Germany that mandatory insurances are still offered only to a limited extent by insurance companies from the EEA; they are mostly limited to motor liability insurance.</w:t>
      </w:r>
    </w:p>
    <w:p>
      <w:r>
        <w:t>97. Expressed in market shares, only Nassau and Hiscox, as originally foreign providers, have measurable market shares in Germany. These, however, are well below 5%. This corresponds to the listing of the interveners to 1, which, in addition to Parties 1 to 5, names VKB, Gothaer, SV-Sparkassenversicherung Gebäudeversicherung AG (after merging with SV Sparkassenversicherung Hessen Nassau Thüringen now SV Sparkassenversicherung), and Zurich as further competitors.</w:t>
      </w:r>
    </w:p>
    <w:p>
      <w:r>
        <w:t>98. According to an overview submitted to the decision-making department by the interveners to 1, based on insurance evidence from their members, over 95% of policyholders have insurance coverage with a national provider.</w:t>
      </w:r>
    </w:p>
    <w:p>
      <w:r>
        <w:t>99. A leading brokerage firm has stated that despite premium increases of "(allegedly) 200%" since 1998 for the relevant insurances, no significant shifts to foreign providers have been observed, although their premiums increased less sharply during the same period. This suggests that customers place great value on local support in underwriting and particularly in claims handling, or expect better overall performance from established domestic providers.</w:t>
      </w:r>
    </w:p>
    <w:p>
      <w:r>
        <w:t>100. Although Gerling pointed out that professional liability insurances are also mandatory in some other EU countries, the regulations in this regard vary significantly from member state to member state (in some cases, there are so-called chamber solutions).</w:t>
      </w:r>
    </w:p>
    <w:p>
      <w:r>
        <w:t>101. The risks to be insured for WP/vBP cannot be equated with risks from industrial customer risks or large risks such as in aviation and aerospace insurance, neither "without further ado" nor at all. Such comparability could only be considered – if at all – in relation to the risks of the "Big 4". The survey of the "Big 4" has shown that they exclusively rely on national providers for the mandatory insurance of their employees – as far as their activities in Germany are concerned. Only for excess insurance beyond the mandatory coverage and possibly extended basic coverage do the "Big 4" sometimes utilize foreign providers or resort to captives.</w:t>
      </w:r>
    </w:p>
    <w:p>
      <w:r>
        <w:t>102. The "Big 4" are also not "shaping" the profession numerically, even when including the next largest WPG, BDO. According to the statistical overview published by the interveners to 1 regarding the profession of auditors, as of January 1, 2005, the interveners to 1 recorded a total of 19,428 members. Of these, the group of auditors accounted for 12,244 (63%), vBP for 4,009 (20.6%), WPG for 2,221 (11.4%), and auditing firms for 143 (7.3%) of the chamber members. Of the total number of WP/vBP registered with the interveners to 1 as of January 1, 2006, 3,681 were in large firms and 12,988 WP/vBP, i.e., 77.9%, were working in other WP practices. As of January 1, 2006, the interveners to 1 reported the following numbers for the "Big 4": 983 for PwC, 733 for E&amp;Y, 897 for KPMG, and 322 for D&amp;T active WP/vBP. A noticeable "tendency" towards the Europeanization of markets, as stated by Party 1, is therefore not evident. Reference should also be made to the number of WP/vBP working in WPG by size classes, which clearly shows that the majority of active small and medium-sized companies belong to this group. In total, as of January 1, 2006, there were eight WPG with more than 50 active WP/vBP, which represented a decrease of three WPG compared to the year 2002. Since the figures published by the interveners to 1 regarding the WP/vBP active in Germany by "WPG size classes" speak for themselves, further comments on the demand structure presented by the parties in their submission of January 24, 2007, are unnecessary. Apart from the demand and thus risk structure determined here, a globally emerging trend towards large risks does not automatically justify the assumption of Europe-wide markets.</w:t>
      </w:r>
    </w:p>
    <w:p>
      <w:r>
        <w:t>103. The traditional "orientation" of German demanders for VSH insurance towards the London market, as presented by Party 1, has no significance for the basic coverage or extended basic coverage and only a subordinate significance for excess coverage (determined market share less than 0.5%).</w:t>
      </w:r>
    </w:p>
    <w:p>
      <w:r>
        <w:t>104. Although WP/vBP (as well as tax advisors and lawyers) are generally only required to take out their VSH insurances with an "insurance company authorized for business operations in the country" (§ 1 Abs. 2 WPBHV-VO; § 51 Abs. 4 DVStB), many foreign insurance companies do not make use of their establishment or service freedom – as the investigations have shown. The main reason for this is likely that the statutory liability and mandatory insurance provisions in Germany differ significantly from those in most other European countries. While in Germany the principle of violation traditionally applies, the Anglo-American claims-made principle is applied in almost all other legal systems. Since under the principle of violation, insurance companies close their books at the end of an insurance period...</w:t>
      </w:r>
    </w:p>
    <w:p>
      <w:r>
        <w:rPr>
          <w:b/>
        </w:rPr>
        <w:t>[Pages 43–45]</w:t>
      </w:r>
    </w:p>
    <w:p>
      <w:r>
        <w:t>43</w:t>
        <w:br/>
        <w:t>cannot yet be concluded, they are forced to establish late damage reserves. This means they must prepare for those potential scenarios that may retrospectively affect the currently ongoing financial year in the future. Therefore, the principle of violation requires insurance companies to create long-term reserves. The principle of violation thus represents a significant barrier to market entry for providers who are not familiar with this principle. For foreign insurance companies, it is additionally the case that the market volume, compared to other sectors, is relatively small and, in any case, currently stable. This circumstance was also cited by the surveyed brokers as a reason for the lack of presence of foreign providers in the German market.</w:t>
      </w:r>
    </w:p>
    <w:p>
      <w:r>
        <w:t>105. The principle of violation applies, according to the prevailing opinion in the industry, only to the minimum coverage, not to excess coverage. However, since most German insurance companies offer both mandatory and extended basic coverage based on the principle of violation, foreign insurance companies are – if at all – only active in the area of relatively high-sum excess insurances. Operating solely in this area, however, seems economically unattractive, as evidenced by the low penetration of the German market with foreign providers.</w:t>
      </w:r>
    </w:p>
    <w:p>
      <w:r>
        <w:t>106. A strong market broker has stated, for example, that there is interest on the demand side in the area of excess coverage above the mandatory insurance to continue the insurance protection on a violation basis in order to obtain unlimited insurance coverage for violations during the contract term. In contracts based on the claims-made principle, a time-limited "run-off" coverage would have to be separately acquired in the event of a change of insurer. It remains to be seen whether the ongoing internationalization in the field of liberal professions will change the current market situation. According to the assessment of another large insurance broker, the international insurance market is fundamentally open to German WP/vBP, provided that the statutory regulation of the principle of violation is viewed as limited to the mandatory insurance sums. However, this opportunity is utilized little by German policyholders. The statements from D &amp; T also point in this direction. D &amp; T provides insurance coverage for German and international risks up to a certain amount (basic coverage, extended basic coverage, and excess levels 1 to 5) with Party 1; for the area above that, the company purchases insurance coverage from a captive insurance indemnity, an insurance company that insures member firms from the international auditing and consulting network of Deloitte &amp; Touche Tohmatsu. D &amp; T does not consider foreign providers for the German basic coverages because the processing of inquiries is not flexible and fast enough, and the requested insurance premiums do not meet the company's expectations. The recourse of KPMG to insurance coverage from KPMG International was justified by the insurance capacities not being available to the required extent in terms of insurance sums and insured risks.</w:t>
      </w:r>
    </w:p>
    <w:p>
      <w:r>
        <w:t>107. Significant differences from abroad also arise regarding claims handling/settlement for brokered contracts. While in the case of professional liability insurance for WP/vBP in other countries, claims settlement can be completely handled through the broker, in Germany, the determination by the co-defendant 1 stipulates that claims settlement must occur directly through the insurer. This is justified, according to the broker's statement from co-defendant 1, by the preservation of professional secrets in the field of WP/vBP.</w:t>
      </w:r>
    </w:p>
    <w:p>
      <w:r>
        <w:t>108. The investigations ultimately did not confirm the existence of intense competition from foreign insurers, contrary to the assertions of the parties involved. The market was also assessed as not being highly competitive from the broker's side. According to a broker who previously processed well over 75% of his placements with Party 1, foreign insurers have withdrawn from the German market in recent years. This can be attributed, among other things, to the strong market position of Party 1, which was described by a specialist broker as follows: "We are aware that efforts are being made by the insurance office to deter new insurers from entering the WP market. The justification refers to the poor claims history and the long tail risk."</w:t>
      </w:r>
    </w:p>
    <w:p>
      <w:r>
        <w:t>109. The aforementioned criteria, including in particular the necessity of statutory professional liability insurance and the retention of the principle of violation in Germany as peculiarities within the European Union, demonstrate that the market for professional liability insurance for WP/vBP is spatially limited to Germany.</w:t>
      </w:r>
    </w:p>
    <w:p>
      <w:r>
        <w:t>I.3 Market Structure and Competitive Assessment of the Market for Professional Liability Insurance for WP Practitioners/vBP</w:t>
      </w:r>
    </w:p>
    <w:p>
      <w:r>
        <w:t>110. Party 1 holds a prominent position in the relevant market with a market share consistently well above 50%. This market position leads to a noticeable unlawful restriction of competition.</w:t>
      </w:r>
    </w:p>
    <w:p>
      <w:r>
        <w:t>111. In the course of the factual examination, all competitors were surveyed regarding the contracts they underwrote for Germany from 2003 to 2006 and the premium income (booked gross premium income (BBE)) for professional liability insurance for WP/vBP. The relevant market volume developed from €101 million in 2003 to slightly over €125 million in 2006. For Party 1, the following market shares are evident based on BBE in the relevant market for professional liability insurance for WP/vBP:</w:t>
        <w:br/>
        <w:t>2003: [60 - 70%],</w:t>
        <w:br/>
        <w:t>2004: [50 - 60%],</w:t>
        <w:br/>
        <w:t>2005: [50 - 60%], and</w:t>
        <w:br/>
        <w:t>2006: [50 - 60%].</w:t>
        <w:br/>
        <w:t>The investigations are also consistent with the public statements of the managing director of Party 1 regarding their market presence and statements from the WP industry about the relevant market.</w:t>
      </w:r>
    </w:p>
    <w:p>
      <w:r>
        <w:rPr>
          <w:b/>
        </w:rPr>
        <w:t>[Pages 46–48]</w:t>
      </w:r>
    </w:p>
    <w:p>
      <w:r>
        <w:t>46</w:t>
        <w:br/>
        <w:t>112. The market share of Party [...] amounted to [...] %. To what extent these can be attributed to Party 1, as their concluded professional liability insurance (VSH) for WP/vBP occurs under the conditions and premiums of Party 1, can remain undecided here due to a lack of decision-relevance.</w:t>
      </w:r>
    </w:p>
    <w:p>
      <w:r>
        <w:t>113. The determined market shares based on the BBE impressively confirm the market share estimates of the surveyed market participants, who generally attribute a "dominant market presence" or an "absolute market leadership" to Party 1. A significant competitor with a market share based on BBE currently between 30 – 40 % is Gerling. However, the market share gap between Gerling and Party 1 is more than [...] percentage points. The other competitors, on the other hand, achieved market shares that are exclusively around 5 % and in some cases far below that.</w:t>
      </w:r>
    </w:p>
    <w:p>
      <w:r>
        <w:t>114. Although Gerling has made significant competition against Party 1 in terms of the number of concluded contracts, which is not decisive when considering the market structure, it has nearly doubled its market share in 2006 compared to 2003. Nevertheless, this development concerns almost exclusively the lower coverage amount ranges. According to unanimous reports from the surveyed competitors and brokers, this is attributed to the premium tariff adjustment of Party 1, which particularly affected smaller WP/vBP practitioners harshly. The "radical restructuring of the portfolio"77 of Party 1, as characterized by market participants, was associated with significant premium increases [...]. The manner in which Party 1 presented itself during the premium tariff adjustment, especially towards small and medium-sized practitioners, has greatly encouraged their willingness to switch insurers. The apparent gain in customers (number of contracts) for Gerling was, according to statements from Gerling, due to the Gerling premium tariff, which was significantly below the tariff level of Party 1. Gerling has stated to the decision-making department that the trend towards migration has stopped, and a contract gain as in the past is therefore no longer likely. This assessment is confirmed by the figures determined for the year 2006. Accordingly, Party 1 was able to slightly increase its market share compared to the previous year.</w:t>
      </w:r>
    </w:p>
    <w:p>
      <w:r>
        <w:t>115. [...]78.</w:t>
      </w:r>
    </w:p>
    <w:p>
      <w:r>
        <w:t>116. For the total existing VSH insurances for WP/vBP in 2006, approximately</w:t>
        <w:br/>
        <w:t>- [60 - 70 %] were contracts with a coverage amount of €1 million,</w:t>
        <w:br/>
        <w:t>- [20 - 30 %] were contracts with a coverage amount up to €4 million,</w:t>
        <w:br/>
        <w:t>- [1 - 10 %] were contracts with a coverage amount of €4 - 10 million, and</w:t>
        <w:br/>
        <w:t>- [1 - 10 %] were contracts with a coverage amount over €10 million.</w:t>
        <w:br/>
        <w:t>Overall, the share of contracts with a coverage amount of up to €4 million accounted for almost [...] % of all contracts, while the share of contracts with a coverage amount of over €10 million was just [...] %. For Party 1, the following picture emerges regarding its coverage amount spectrum:</w:t>
        <w:br/>
        <w:t>- [60 - 70 %] were contracts with a coverage amount of €1 million,</w:t>
        <w:br/>
        <w:t>- [20 - 30 %] were contracts with a coverage amount up to €4 million,</w:t>
        <w:br/>
        <w:t>- [1 - 10 %] were contracts with a coverage amount of €4 - 10 million, and</w:t>
        <w:br/>
        <w:t>- [1 - 10 %] were contracts with a coverage amount over €10 million.</w:t>
        <w:br/>
        <w:t>The above contractual structure by coverage amount ranges also illustrates that Party 1 deviates only slightly from the market average contractual structure.</w:t>
      </w:r>
    </w:p>
    <w:p>
      <w:r>
        <w:t>117. Risks exceeding the extended basic coverage are only underwritten by smaller competitors in individual cases, e.g., in "customer accompaniment" or in co-insurance. According to the investigations, however, there is no direct connection to possibly insufficiently available or too expensive reinsurance capacities. According to the surveyed competitors, there are sufficient reinsurance capacities available on the reinsurance market to insure the WP/vBP risks. The following reinsurers were named: Münchener Rück, Swiss Re, Kölnische Rück, the Bayerische Rück, and additionally reinsurers active in the London market.</w:t>
      </w:r>
    </w:p>
    <w:p>
      <w:r>
        <w:t>118. Despite the market share losses in the years 2004 and 2005, Party 1 has a market share of [50 - 60 %] based on BBE according to the currently conducted market survey – which is to be referred to here. Its market leadership is also evident in that it was able to implement massive premium increases through tariff adjustments without significantly losing its dominant market position. An insurance broker commented as follows: "While the Gerling Group (estimated market share among WPs at 20-30 %) considers the previous tariff premiums to be 'adequate', the insurance office (estimated market share at 60 %) has drastically increased premiums over the last 4 years. According to their statement, this led to a loss of 50 % in numbers while maintaining the total premium. As market leader, the pool is the benchmark for the tariffs of other insurers (except Gerling)."79 This assessment also provides an explanation for why the smaller competitors did not participate comparably in the customer losses of Party 1 as Gerling did.</w:t>
      </w:r>
    </w:p>
    <w:p>
      <w:r>
        <w:t>I.4 Restriction of Competition in the Sense of Art. 81(1) EC/§ 1 GWB</w:t>
      </w:r>
    </w:p>
    <w:p>
      <w:r>
        <w:t>119. The cooperation of Parties 2 to 5 within the framework of the activities of Party 1 violates Art. 81(1) EC/§ 1 GWB, as it aims to and does restrict competition in the relevant market.</w:t>
      </w:r>
    </w:p>
    <w:p>
      <w:r>
        <w:t>120. The agreement between Parties 2 to 5 has noticeable effects on trade between member states. On the one hand, the members involved in the agreement have their seats in more than one member state (see Rn. 21), and on the other hand, the agreement has noticeable negative effects on competition with VSH insurances for WP/VBP, as it significantly impairs the market entry of new (including foreign) competitors into the German market.</w:t>
      </w:r>
    </w:p>
    <w:p>
      <w:r>
        <w:t xml:space="preserve">I.4.1 Extent of the Restriction of Competition through the Activities of Party 1.  </w:t>
        <w:br/>
        <w:t>79 Bl. 140 d. A.</w:t>
      </w:r>
    </w:p>
    <w:p>
      <w:r>
        <w:rPr>
          <w:b/>
        </w:rPr>
        <w:t>[Pages 49–51]</w:t>
      </w:r>
    </w:p>
    <w:p>
      <w:r>
        <w:t>49</w:t>
        <w:br/>
        <w:t>121. Party 1 is – as stated above – the undisputed market leader with a market share based on BBE of [50 – 60 %], and the behavioral leeway of Party 1 is clearly not subject to sufficient competitive control by the other competitors. Parties 2 to 5 have been deprived of their status as independent competitors in the market due to their decades-long collaboration within the framework of the activities of Party 1. The activities of Party 1 hinder a free market formation for professional liability insurance (VSH) for WP/vBP due to its traditionally established market position. Due to the long-standing collaboration of Parties 2 to 5 and the resulting undisputed market position of Party 1, Parties 2 to 5 traditionally do not compete for customer relationships but instead bring customers to Party 1 at uniform premiums and conditions. [...] Party 2 has, for example, stated: [...].80 [...].81</w:t>
      </w:r>
    </w:p>
    <w:p>
      <w:r>
        <w:t>I.4.2 Concept of Joint Venture – Insurance "Big 4/Big 5"</w:t>
        <w:br/>
        <w:t>122. The parties have stated in a written submission dated July 27, 2006, that in light of the narrow market delineation by the decision-making department, the VSH risks of the large WPGs, namely KPMG, PwC, E &amp; Y, D &amp; T, and BDO (collectively referred to as "Big 5"), would not be insurable without Party 1, and therefore the VSH insurance of the "Big 5" does not aim to or effectuate a restriction of competition within the meaning of Art. 81(1) EC/§ 1 GWB. [...82]. A criterion to be considered for the necessary activities of Party 1 is that providers of excess insurance, particularly the London market, require the existence of a VSH insurance with Party 1 for further insurance coverage for the "Big 5." Furthermore, the existence of a VSH insurance with Party 1 facilitates the reinsurance of captives as an instrument for obtaining further insurance coverage for the "Big 5." Additionally, it should be noted that the "Big 5" are subject to special requirements regarding their independence. This means that they cannot conduct audits with an insurance company that solely provides them with insurance coverage, as the respective auditor may have to examine the existence of recourse claims against their own WPG. In contrast to a theoretically conceivable sole underwriting by Parties 2 to 5, their collaboration within the framework of Party 1 avoids an individual dependency between the "Big 5" and Parties 2 to 5. By bringing the VSH risk into Party 1, a conflict between investment and insurance interests with respect to a sole underwriting insurance company is also circumvented, which could arise from the fact that the "Big 5," with few exceptions, are auditors for all DAX and MDAX companies. Parties 2 to 5, in turn, are among the large investors in shares of DAX and MDAX companies, which in the event of a loss event could lead to a conflict of interest between the claims of the "Big 5" and the interests of the investors. Party 1 neutralizes this conflict of interest to some extent and is therefore necessary.</w:t>
      </w:r>
    </w:p>
    <w:p>
      <w:r>
        <w:t>123. From the perspective of the intervenor 1, there is much to suggest that not only for VSH insurances for the "Big 4/Big 5" is a community of insurers needed, but that the profession in general requires VSH insurances with higher coverage amounts (certainly significantly above €5 million) to be offered economically reasonably only in a community of insurers. This is particularly evident in that, to the knowledge of intervenor 1, insurance coverage for risks over €5 million is currently only offered by Party 1 and in individual cases by Gerling. According to the case law of the BGH regarding the concept of joint ventures, there is therefore no restriction of competition present.</w:t>
      </w:r>
    </w:p>
    <w:p>
      <w:r>
        <w:t>124. In its practice regarding co-insurance communities, the KOM has recognized that co-insurance communities are not restrictive of competition when the participating insurers are only enabled by the community to insure certain risks that they could not insure alone.</w:t>
      </w:r>
    </w:p>
    <w:p>
      <w:r>
        <w:t>125. Cooperation between companies that is not suitable to restrict competition is not covered by § 1 GWB as a cartel-free cooperation. If, from the perspective of the concept of joint ventures, independent action in the affected market is economically impractical and commercially unreasonable, § 1 GWB is not affected. This also applies to the participation of large companies whose capacity, technical facilities, and expertise would objectively be sufficient to execute the order independently (BGH WuW/E 2050, 2051 "Bidding Community Schrammberg") or, if only through the cooperation of several independent companies and the bundling of their performance capabilities while simultaneously coordinating their appearance towards the market counterpart can a demanded service be provided (BGH WuW/E DE-R 876,878 "Youth Follow-ups"). However, for the concept of joint ventures (according to the BGH's view), the purely subjective decision of a company not to operate in the relevant market is not sufficient (BGH WuW/E 2777, 2779 "End of Exemption for Usage Rights").</w:t>
      </w:r>
    </w:p>
    <w:p>
      <w:r>
        <w:t>126. In their submission dated July 27, 2006, the parties have for the first time included BDO as the fifth company in the group of large internationally active WPGs within the proceedings. Until then, they had only referred to the "Big 4" as large WPGs, as is customary in the market.83 No evidence was provided as to why BDO should now be considered alongside the "Big 4" for the concept of joint ventures. The parties stated in their letter dated November 24, 2006 (draft of a commitment proposal according to § 32b Abs. 1 GWB) that the draft is based on [...].84,85 Due to the decision-making department's negative stance towards the draft of the commitment proposal, the parties submitted another proposal on December 5, 2006, which provided for [...].86 No reference was made to the reasons why BDO could now be disregarded for the actuarial calculations.</w:t>
      </w:r>
    </w:p>
    <w:p>
      <w:r>
        <w:t>127. The decision-making department sees in the differing statements of Parties 1 to 5 a course of action shaped by interests. Starting from...</w:t>
      </w:r>
    </w:p>
    <w:p>
      <w:r>
        <w:rPr>
          <w:b/>
        </w:rPr>
        <w:t>[Pages 52–54]</w:t>
      </w:r>
    </w:p>
    <w:p>
      <w:r>
        <w:t>52</w:t>
        <w:br/>
        <w:t>from the market-standard grouping of the large WPG to the "Big 4" and particularly also taking into account Gerling's statement that for business policy reasons, only the VSH risks of the "Big 4" are not to be insured, the decision-making department sees no justification for why, with regard to the idea of cooperation, reference should be made to the "Big 5" and otherwise to the "Big 4." Both KPMG and PwC clearly identified themselves as belonging to the "Big 4" during discussions with the decision-making department.87 There was no mention of BDO as "group-affiliated." Furthermore, BDO, with an annual turnover of approximately €170 million, clearly distinguishes itself from the "Big 4," whose revenues in 2006 were €517 million (D &amp; T), €1,010 million (E &amp; Y), €1,118 million (KPMG Germany), and €1,231 million (PwC), which are multiples of BDO's revenue. According to its own statement, BDO88 does not see itself as a direct competitor to the "Big 4" with respect to large and publicly listed companies.</w:t>
      </w:r>
    </w:p>
    <w:p>
      <w:r>
        <w:t>128. The market investigations of the decision-making department have confirmed that currently, apart from Party 1, no other providers offer the insurance coverage (basic coverage plus extended basic coverage and excess coverage) for VSH risks demanded by the "Big 4" in the domestic market. This was justified each time with business policy considerations regarding the high damage exposures of the "Big 4." [...].</w:t>
      </w:r>
    </w:p>
    <w:p>
      <w:r>
        <w:t>129. KPMG and PwC have reiterated to the decision-making department that it is difficult to place their exposed risks in the market; only Party 1 is able to insure them. The collaboration with Party 1 has also historically developed and is based on a mutual trust relationship. Party 1 provides them with global insurance coverage, meaning that no differentiation is made between the professional groups or beyond that for other employees (e.g., administrative staff) (there is no insurance corresponding to the specific risk for the individual professional groups).89</w:t>
      </w:r>
    </w:p>
    <w:p>
      <w:r>
        <w:t>130. The statement of the interveners 1 and 2 that the idea of cooperation should be extended according to the BGH case law, particularly to the risk area above €5 million or €4 million, is contradicted by market conditions. Coverage amounts of up to €10 million are offered – albeit to varying degrees – by all competitors active in the market. Coverage amounts over €10 million are offered by three additional competitors besides Party 1. Even though the share of contracts with coverage amounts over €10 million at Party 1 is almost twice as high as the cumulative share of the other competitors, market conditions do not support the compelling necessity of cooperative collaboration for the coverage amounts demanded by the WP/vBP (with the exception of the "Big 4") for their VSH insurances.</w:t>
      </w:r>
    </w:p>
    <w:p>
      <w:r>
        <w:t>131. Ultimately, it can remain undecided whether the idea of cooperation holds, as the decision-making department, in the exercise of its discretion, disregards the VSH insurance of the "Big 4" for this decision. In its discretionary decision, the decision-making department considered the specific market conditions and particularly noted that the "Big 4" are large corporate-bound and internationally active WPGs that have considerable demand power towards Party 1. This is also emphasized by intervenor 1.90 [...].</w:t>
      </w:r>
    </w:p>
    <w:p>
      <w:r>
        <w:t>132. Even if the decision-making department exercises discretion regarding the "Big 4" not to include them in this decision, the VSH insurances of the "Big 4" are, however, an unrestricted part of the market for VSH insurances for WP/vBP. Investigations have not revealed any indications that VSH insurances for the "Big 4" form or could form a separate market. The objection of the parties that the BBE achieved with the "Big 4" should not be included in the total market volume due to their specificity in risk assessment is not to be followed. The parties themselves have stated that for risk calculation, it is precisely the entire range of risk carriers that matters. In principle, there is no buyer-specific distinction regarding the product design of VSH insurance for WP/vBP, and the exclusion of the "Big 4" from the decision was made solely at the discretion of the decision-making department.</w:t>
      </w:r>
    </w:p>
    <w:p>
      <w:r>
        <w:t>II. Conditions for Exemption for the Cooperation of Parties 2 to 5 within the Framework of the Activities of Party 1 according to Art. 81(3) EC/§ 2 GWB (excluding the "Big 4")</w:t>
      </w:r>
    </w:p>
    <w:p>
      <w:r>
        <w:t>133. The examination of the conditions under Art. 81(3) EC/§ 2(1) GWB has shown that the conditions for exemption from the prohibition of cartels for the cooperation of Parties 2 to 5 within the framework of the activities of Party 1 for the insurance of VSH risks for WP/vBP (with the exception of the "Big 4") are not met.</w:t>
      </w:r>
    </w:p>
    <w:p>
      <w:r>
        <w:t>II.1 Applicability of the Insurance Block Exemption Regulation</w:t>
      </w:r>
    </w:p>
    <w:p>
      <w:r>
        <w:t>134. Agreements and concerted practices of insurance companies are exempt under Art. 1 of the Insurance Block Exemption Regulation No. 358/03 under certain conditions. However, an exemption is excluded if one of the exclusion grounds is present.</w:t>
      </w:r>
    </w:p>
    <w:p>
      <w:r>
        <w:t>135. According to Art. 7(2) of the Insurance Block Exemption Regulation, co-insurance associations are exempt from Art. 81(1) EC for the duration of the applicability of the Insurance Block Exemption Regulation, provided that the insurance products underwritten by the participating companies or in their name within the framework of the co-insurance association do not exceed a market share of more than 20% in any of the affected markets. According to Art. 7(3) of the Insurance Block Exemption Regulation, the calculation of the market share must generally be based on the BBE.</w:t>
      </w:r>
    </w:p>
    <w:p>
      <w:r>
        <w:t>136. In a letter dated July 27, 2006, the parties stated that, in light of the market delineation of the decision-making department, which they do not share, they assume that the conditions for exemption under the Insurance Block Exemption Regulation are met. According to their assessment, the market share of Party 1 does not exceed the market share threshold defined in Art. 7(2) of the Insurance Block Exemption Regulation.</w:t>
      </w:r>
    </w:p>
    <w:p>
      <w:r>
        <w:t>137. Intervenor 1 raised the objection that the market share of Party 1 determined on the basis of BBE significantly exceeds its competitive position. Based on concluded contracts, the market share of Party 1 is approximately [30 - 40%] correspondingly lower. Gerling has a higher market share than Party 1 in terms of the number of contracts. The...</w:t>
      </w:r>
    </w:p>
    <w:p>
      <w:r>
        <w:rPr>
          <w:b/>
        </w:rPr>
        <w:t>[Pages 55–57]</w:t>
      </w:r>
    </w:p>
    <w:p>
      <w:r>
        <w:t>55</w:t>
        <w:br/>
        <w:t>Party 1 also generates a significant portion of its gross premium income from contracts with the "Big 4/Big 5". However, it does not hold a strong position relative to the "Big 4/Big 5". The "Big 4/Big 5" can turn to providers abroad and, in particular – as is already partially the case – insure risks through captives.</w:t>
      </w:r>
    </w:p>
    <w:p>
      <w:r>
        <w:t>138. With a market share consistently at [50 – 60 %] in the relevant market, Party 1 significantly exceeds the relevant permissible threshold of 20 % set by the Insurance Block Exemption Regulation for co-insurance associations. Even if one were to take into account Party 1's gross premium income from contracts with the "Big 4" that cannot be attributed to the market volume – for which there is no justification – the threshold of the Insurance Block Exemption Regulation is still far exceeded by Party 1.</w:t>
      </w:r>
    </w:p>
    <w:p>
      <w:r>
        <w:t>139. The Insurance Block Exemption Regulation provides for an exemption for the cooperation of insurance companies under the conditions specified therein, precisely because of the law of large numbers that characterizes the insurance industry. The establishment of the market share threshold of 20 % for co-insurance associations is based on the premise that the European Commission (KOM) assesses the uniform conditions and gross premiums applicable to co-insurance associations (hardcore cartels) above this threshold as significantly more detrimental to competition than any advantages arising from risk pooling. Thus, exceeding the threshold means that the corresponding agreement significantly restricts competition in the relevant market. In the report of the KOM, it is stated: "In contrast, the regulation in its current form is based on the assumption that any institutionalized association already constitutes a restriction of competition. However, if the market share of the participants [...] does not exceed a certain threshold, the association may fall under the group exemption." Therefore, a key purpose of the market share threshold is to ensure effective competition in insurance markets.</w:t>
      </w:r>
    </w:p>
    <w:p>
      <w:r>
        <w:t>140. Parties 1 to 5 do not meet the requirements for an exemption under the Insurance Block Exemption Regulation.</w:t>
      </w:r>
    </w:p>
    <w:p>
      <w:r>
        <w:t>II.2 Examination of the Individual Exemption Requirements according to Art. 81(3) EC/§ 2(1) GWB</w:t>
      </w:r>
    </w:p>
    <w:p>
      <w:r>
        <w:t>141. An exemption under Art. 81(3) EC/§ 2 GWB exists only if the agreement, decision, or concerted practice fulfills the four conditions of Art. 81(3) EC.</w:t>
      </w:r>
    </w:p>
    <w:p>
      <w:r>
        <w:t>142. According to Art. 81(3) EC and § 2(1) GWB, agreements are exempt from the prohibition of Art. 81(1) EC and § 1 GWB that contribute to improving the production or distribution of goods or to promoting technical or economic progress while allowing consumers a fair share of the resulting benefit, without imposing on the participating companies:</w:t>
        <w:br/>
        <w:t>a) restrictions that are not essential for the attainment of these objectives,</w:t>
        <w:br/>
        <w:t>b) opportunities to eliminate competition for a substantial part of the relevant goods.</w:t>
      </w:r>
    </w:p>
    <w:p>
      <w:r>
        <w:t>143. The § 2(1) GWB created in the context of the 7th GWB Amendment "essentially adopts the exemption requirements of Art. 81(3) EC". The announcement of the KOM – Guidelines for the Application of Art. 81(3) EC can be referenced here.</w:t>
      </w:r>
    </w:p>
    <w:p>
      <w:r>
        <w:t>144. The burden of proof that the conditions of Art. 81(3) EC/§ 2(1) GWB are met lies with the companies invoking this provision. According to the established case law of the ECJ, an exemption is not granted if even one of the four conditions is not met.</w:t>
      </w:r>
    </w:p>
    <w:p>
      <w:r>
        <w:t>II.2.1 Justification of the Existence of the Exemption Requirements of Art. 81(3) EC/§ 2(1) GWB by the Parties</w:t>
      </w:r>
    </w:p>
    <w:p>
      <w:r>
        <w:t>145. Parties 2 to 5 have claimed that their cooperation within the framework of the activities of Party 1, even considering the narrow market delineation represented by the decision-making department, which they do not agree with substantively, fulfills the exemption requirements of Art. 81(3) EC or § 2(1) GWB.</w:t>
      </w:r>
    </w:p>
    <w:p>
      <w:r>
        <w:t>146. The exemption under the Insurance Block Exemption Regulation fails solely on the basis of market shares in light of the market delineation made by the decision-making department. The legislative assessment can be derived from the Insurance Block Exemption Regulation that co-insurance associations that substantively meet the requirements of Art. 8 of the Insurance Block Exemption Regulation generally also fulfill the first three exemption requirements of Art. 81(3) EC. Thus, for Party 1, only the examination of the fourth requirement of Art. 81(3) EC (no opportunity to eliminate competition for a substantial part of the goods) would be necessary. The parties justify their legal opinion with opinions from the literature that discuss the role of group exemptions ("GVO") within the framework of the direct application of Art. 81(3) EC (legal exemption).</w:t>
      </w:r>
    </w:p>
    <w:p>
      <w:r>
        <w:t>147. The statements of the parties in their letter dated January 24, 2007, regarding the legal effect of the GVO in the system of legal exemptions do not need to be addressed in detail here. As also stated by Fuchs, to whom the parties refer among others, opinions on the functioning and significance of the GVO in the new system of (primary law) legal exemptions vary widely. The submissions of the parties in this regard above under para. 146 must therefore be relativized. To the extent that the parties refer to Bechtold, Bechtold has explained beyond the passage cited by the parties in their submission dated January 24, 2007, that the direct application of Art. 81(3) EC should be oriented towards the previous decision-making practice of the Commission and the group exemptions. Furthermore, Bechtold stated: "If a group exemption for a specific case unconditionally assumes that Art. 81(3) EC is fulfilled, this is – considering the arguments that must be added individually – also the case when individual requirements are not met, but this non-fulfillment is compensated by other aspects."</w:t>
      </w:r>
    </w:p>
    <w:p>
      <w:r>
        <w:rPr>
          <w:b/>
        </w:rPr>
        <w:t>[Pages 58–60]</w:t>
      </w:r>
    </w:p>
    <w:p>
      <w:r>
        <w:t>58</w:t>
        <w:br/>
        <w:t>in light of the elements of the offense under Art. 81(3) EC are not relevant.96</w:t>
        <w:br/>
        <w:t>148. According to Recital 23 of the Insurance Block Exemption Regulation, co-insurance associations that do not fall within the scope of the regulation may be eligible for an individual exemption depending on the specific circumstances of the co-insurance association itself and the specific conditions of the market. In such cases, however, an individual analysis must be conducted to determine whether the conditions of Art. 81(3) EC are met. Accordingly, the Commission (KOM) has examined all conditions in detail in its individual exemption decisions, such as in the case of P&amp;I Club97, and did not limit its examination to just one or, as indicated here, only to the fourth exemption criterion (no exclusion of significant competition), as the parties involved considered sufficient.</w:t>
      </w:r>
    </w:p>
    <w:p>
      <w:r>
        <w:t>149. The exemption conditions mentioned in Art. 8 of the Insurance Block Exemption Regulation relate to agreements below the market share thresholds that are decisive for the application of the exemption according to Art. 7 of the Insurance Block Exemption Regulation. The market share threshold is a crucial criterion for an exemption condition and serves – as previously stated – to protect effective competition. If a co-insurance association exceeds the market share threshold, it is an evident sign of an unlawful restriction of competition. Until the entry into force of Regulation 1/2003, a co-insurance association exceeding the market share threshold could only be legalized through an individual exemption98 according to Art. 81(3) EC.</w:t>
      </w:r>
    </w:p>
    <w:p>
      <w:r>
        <w:t>150. For the examination of the exemption condition for the cooperation of Parties 2 to 5 within the framework of the activities of Party 1 for the insurance of VSH risks for WP/vBP according to Art. 81(3) EC, contrary to the view of the parties involved, it is not sufficient to focus solely on the examination of the fourth exemption condition. The antitrust permissibility of the cooperation of Parties 2 to 5 within the framework of the activities of Party 1 for the insurance of VSH risks for WP/vBP requires a complete examination of all the conditions mentioned in Art. 81(3) EC and their cumulative presence.</w:t>
      </w:r>
    </w:p>
    <w:p>
      <w:r>
        <w:t>II.2.2 Conditions for an Exemption under Art. 81(3) EC/§ 2(1) GWB</w:t>
        <w:br/>
        <w:t>151. After examining the exemption conditions mentioned in Art. 81(3) EC, the decision-making department has concluded that the cooperation of Parties 2 to 5 within the framework of the activities of Party 1 regarding the insurance of VSH risks for WP/vBP is not exempt from the cartel prohibition of Art. 81(1) EC/§ 1 GWB.</w:t>
      </w:r>
    </w:p>
    <w:p>
      <w:r>
        <w:t>152. In its guidelines99, the Commission has reversed the second and third conditions for the application of the four conditions of Art. 81(3) EC in order to address the issue of necessity before the question of the passing on of benefits to consumers. According to the Commission, the examination of the passing on of benefits requires a weighing of the negative and positive effects of an agreement on consumers. This examination should not include effects of competition restrictions that have not been classified as essential and are thus prohibited under Art. 81(1) EC.100 The examination of the individual exemption conditions is currently conducted according to the sequence of examination outlined in the Commission's guidelines for the application of Art. 81(3) EC.</w:t>
      </w:r>
    </w:p>
    <w:p>
      <w:r>
        <w:t>II.2.2.1 First Condition to be Examined: Efficiency Gains</w:t>
        <w:br/>
        <w:t>153. The first exemption condition to be examined is that the competition-restricting agreement leads to efficiency gains that are causally based on a restriction of competition within the meaning of Art. 81(1) EC.101 According to the case law of the ECJ, only objective benefits can be taken into account. This means that efficiency gains are not to be assessed from the subjective standpoint of the parties. Cost savings resulting from mere market power are not actual cost savings and cannot be claimed as efficiency gains.</w:t>
      </w:r>
    </w:p>
    <w:p>
      <w:r>
        <w:t>154. Efficiencies that reflect the relationship between effort and benefit can arise in both dynamic and productive forms. Dynamic efficiency gains particularly aim at technical and economic progress in the form of product improvement and the invention of new goods and markets. They are not relevant for the cooperation of Parties 2 to 5 within the framework of the activities of Party 1. Long-term co-insurance associations, as represented by Party 1, generally aim to bundle and broadly distribute similar risks; their purpose is therefore not to create new, innovative insurance products. Accordingly, only productive efficiencies can be claimed here. Productive efficiencies mean improvements in the production and distribution of goods, thus cost savings through the optimization of processes, i.e., goods are produced with minimal resource expenditure. In economic theoretical analysis, this is reflected in a reduction of marginal costs102.</w:t>
      </w:r>
    </w:p>
    <w:p>
      <w:r>
        <w:t>155. The purpose of the first condition of Art. 81(3) EC is to define the types of efficiency gains that can be considered and that can be subjected to the requirements of the second and third conditions of Art. 81(3) EC. The objective benefits created by the agreement and the economic significance of the efficiency gains must be determined. Since for the application of Art. 81(3) EC, the competition-enhancing effects of an agreement must outweigh the anti-competitive effects, the link between the agreement and the claimed efficiency gains as well as their value must be examined.103 All claimed efficiency gains must therefore be substantiated in order to be verifiable.104</w:t>
      </w:r>
    </w:p>
    <w:p>
      <w:r>
        <w:t>156. The parties have claimed that the agreement achieves "significant" efficiency gains for Parties 2 to 5.105 Significant efficiency gains arise from the following:</w:t>
      </w:r>
    </w:p>
    <w:p>
      <w:r>
        <w:rPr>
          <w:b/>
        </w:rPr>
        <w:t>[Pages 61–63]</w:t>
      </w:r>
    </w:p>
    <w:p>
      <w:r>
        <w:t>61</w:t>
        <w:br/>
        <w:t>(1) Expansion of available capacities;</w:t>
        <w:br/>
        <w:t>(2) Accumulation and permanent retention of highly qualified know-how for risk assessment and pricing;</w:t>
        <w:br/>
        <w:t>(3) In-depth understanding of the damage potential of the insured professionals and high specialization, which leads to particularly rapid and competent assessment and optimal advice for policyholders regarding profession-specific risks and issues, and thus to additional know-how transfer from Party 1 to the policyholders;</w:t>
        <w:br/>
        <w:t>(4) Cost savings through commission-free in-house sales activities compared to intermediaries who operate for a commission;</w:t>
        <w:br/>
        <w:t>(5) Collaboration with professional representatives, thereby contributing the expertise of Party 1 to risk-relevant legislative processes;</w:t>
        <w:br/>
        <w:t>(6) Cost advantages from broader distribution of risks;</w:t>
        <w:br/>
        <w:t>(7) Easier acquisition of adequate and cost-effective reinsurance coverage due to the high competence of Party 1 in both risk assessment and risk-appropriate pricing;</w:t>
        <w:br/>
        <w:t>(8) Synergies and lower administrative costs compared to the individual activities of Parties 2 to 5;</w:t>
        <w:br/>
        <w:t>(9) Significantly more efficient and competent support for policyholders in claims processing due to the specialization of Party 1 in WP/vBP risks;</w:t>
        <w:br/>
        <w:t>(10) Provision of long-term supply security for policyholders. Due to the sharing of risks among the parties, a withdrawal of individual insurance companies from professional liability insurance for WP/vBP is less likely; policyholders could expect to rely on the original insurance companies and the expertise of Party 1 in typical late damage cases.</w:t>
      </w:r>
    </w:p>
    <w:p>
      <w:r>
        <w:t>157. The intervenor 2 stated in a letter dated May 11, 2007, that the professionals insured with Party 1 particularly value the accumulated experience and the resulting professionalism in risk assessment and claims processing developed over decades. In the event of a prohibition on Party 1, the profession fears not only restrictions on the insurability of risks but also a deteriorating level of service, as the previous experience could be lost or any insurance companies replacing Party 1 might not be able to provide this level due to cost reasons. The cooperation of Parties 2 to 5 within the framework of the activities of Party 1 also leads to a cross-period risk balancing between larger and smaller WP/vBP. Without a corresponding "mix" of policyholders, an insurance company would, in their assessment, be forced to price in a risk surcharge in the premiums. Therefore, the "mix" of smaller and larger policyholders increases the premium efficiency from the perspective of the profession. The insurability of medium and large risks according to the principle of violation is an efficiency advantage of Party 1, whereby the total contract solutions offered by Party 1 must be compared to splitting models. Many auditors opt for the total contract solution, as it leads to various efficiency advantages (reduced communication effort, simpler claims processing, etc.) as offered by Party 1. Therefore, the activities of Party 1 lead to an improved insurance and consulting offer and simultaneously enhance the competitiveness of small and medium-sized WPG.</w:t>
      </w:r>
    </w:p>
    <w:p>
      <w:r>
        <w:t>158. In a letter dated July 7, 2007, the intervenor 1 stated that based on numerous discussions with members of the profession and with insurance companies, they assume that the cooperation of Parties 2 to 5 within the framework of the activities of Party 1 brings significant efficiency gains. Of particular importance here is the assurance of the availability of adequate insurance coverage, the pooling of expertise, significant cost savings in sales, administration, and claims processing, and the "stabilization" of the premium level through the pooling of a larger number of individual risks, which contributes to a broader distribution of risks and thus to lower volatility in the claims experience. In the view of intervenor 1, the advantages of cooperation between Parties 2 to 5 within the framework of the activities of Party 1 far outweigh any potential disadvantages for the profession.</w:t>
      </w:r>
    </w:p>
    <w:p>
      <w:r>
        <w:t>159. Regarding the efficiency gains claimed by the parties, their argument essentially boils down to the fact that efficiencies arise from the pooling of similar risks, which is based on the actuarial principle of the law of large numbers. The law of large numbers, which is commonly regarded as the "fundamental law" of the insurance industry, is the probabilistic prediction of a future claims experience. The larger the number of risk carriers exposed to the same danger, the lesser the impact of random factors. However, the law of large numbers does not indicate who will be affected by a loss, but rather how many of the insured individuals in the risk community are likely to be affected by a specific unfortunate event. Using stochastic methods—i.e., quantitative models to represent random events—one can approximately calculate the frequency, time frame, and amount of incurred damages, allowing the respective premium payments to be adjusted to the risk probability. However, this peculiarity of insurance markets does not justify monopolization, as the advantages of the law of large numbers can also be achieved in competition.</w:t>
      </w:r>
    </w:p>
    <w:p>
      <w:r>
        <w:t>160. Insurance is nothing more than a "risk community" that collectively strives to keep the consequences of a (generally negative) "deviation from the plan" for the community and/or the individual as low as possible. The pooling of a large number of similar risks leads to efficiencies for actuarial reasons alone, regardless of whether only the insurance companies benefit from this or whether they pass on the profit wholly or partially to the insured. Therefore, the law of large numbers in the insurance industry most closely corresponds to efficiency gains in the form of economies of scale, i.e., cost advantages due to size. By pooling a high number of risks, the costs for each individual risk decrease. The pooling of risks for underwriting professional liability insurance for WP/vBP through the cooperation of Parties 2 to 5 within the framework of the activities of Party 1 thus leads to better actuarial calculations of damage costs to produce...</w:t>
      </w:r>
    </w:p>
    <w:p>
      <w:r>
        <w:t>106 Individual risks cannot be insured in isolation because the amount of damage and the occurrence of damage are unpredictable, making it impossible to demand appropriate premiums.</w:t>
      </w:r>
    </w:p>
    <w:p>
      <w:r>
        <w:rPr>
          <w:b/>
        </w:rPr>
        <w:t>[Pages 64–66]</w:t>
      </w:r>
    </w:p>
    <w:p>
      <w:r>
        <w:t>64</w:t>
        <w:br/>
        <w:t>productive efficiency gains. Nevertheless, the parties have not substantiated what cost advantages (insurance technical extent of the efficiency gain) arise for them from the risk bundling.</w:t>
      </w:r>
    </w:p>
    <w:p>
      <w:r>
        <w:t>161. The expansion of available capacities claimed by Parties 2 to 5 in the context of their cooperation applies, according to the assessment of the decision-making department, not universally, but primarily concerning the professional liability insurance of the "Big 4." The investigations have shown that for the professional liability insurance of risks not related to the "Big 4," there is not necessarily a need for the co-insurance community as represented by the cooperation of Parties 2 to 5. All competitors active in the market generally offer professional liability insurances for WP/vBP with coverage amounts of up to €10 million – partly in changing co-insurances – and provide the relevant insurance services for the vast majority of demanders.</w:t>
      </w:r>
    </w:p>
    <w:p>
      <w:r>
        <w:t>162. The cost savings achieved from the commission-free own sales activities compared to otherwise commission-based intermediaries have not been substantiated by Party 1. Since direct sales are generally conducted by in-house employees, this sales channel usually requires high fixed costs for an insurance company (including employee salaries, social contributions, costs for executives, and regular training of employees). It is not evident which portion of costs is borne by Party 1 itself and which portions may be borne by Parties 2 to 5 through their own sales channels without being imposed or credited to Party 1. Verification of the cost savings claimed by Parties 1 is not possible for the decision-making department. In general, high fixed costs are, for example, a significant reason why insurance companies utilize indirect sales forms with significantly lower fixed costs alongside direct sales. Many insurance companies now rely on central sales subsidiaries or entirely on external financial intermediaries, such as the Aachen-Münchener Versicherung, which has recently transferred its sales entirely to a third company, the DVAG. Also, Parties 2 to 5 utilize different sales strategies for their product range and maintain their own employee organizations for direct sales without needing to cooperate with competitors. It should also be considered that different weights are assigned to individual sales strategies for different insurance sectors. According to a Tillinghast study, an above-average share of sales in liability insurance is attributed to broker sales; every third euro of contributions is generated through an independent intermediary. This is primarily due to the strong presence of brokers in commercial and industrial insurance. In contrast, Party 1 predominantly sells professional liability insurance for WP/vBP through direct sales, although it equates the risks to be insured in its market delineation with industrial risks. The low significance of broker sales in the relevant market for professional liability insurance for WP/vBP is attributed, according to a major industrial insurance broker, mainly to the dominant market position of Party 1; [...]. A higher share of broker mediation is therefore also prevented by a stipulation of Party 1, which – unlike in other sectors – does not allow claims settlement through brokers but only directly through the insurance companies (due to possible negative impacts on the reputation of WP/vBP). A market that is not competitive does not justify indirect insurance mediation. The assertion by Party 1 that involving a broker increases the insurance premium has neither been quantified nor sufficiently substantiated based on market conditions. Generally, brokers promote better market transparency for customers. They provide their clients with the opportunity to select the most favorable insurance from multiple offers, thus benefiting from low premiums and/or good insurance conditions. Furthermore, it has been confirmed by a market-active specialist broker and by surveyed WP/vBP that broker offers for WP/vBP are not more expensive than direct insurances. Consequently, it should be noted that direct sales do not necessarily lead to cost savings for the insurer, as claimed by Parties 1. To the extent that Party 1 states that it operates with extremely favorable costs compared to other insurance companies, it does not disclose the basis of the cost comparison. The comparison it refers to with the cost ratio of Gerling pertains to industrial insurance as a whole. The cost ratio cited for Gerling is therefore comparable in its amount to the corresponding cost ratios for the industrial insurance of Parties 2 to 5, whose cost ratios, in turn, should not be directly compared with the cost ratio of Party 1, as they also do not refer to the relevant product market. Furthermore, it must be assumed that Gerling – contrary to the statements of the parties – does not incur insurance technical losses with the relevant insurance products. In the case of a "loss-making business," premium refunds to WP/vBP by Gerling in the absence of claims would be implausible. Such a practice, which was communicated to the decision-making department by an insurance policyholder, was not known to them either by Party 1 or by other competitors.</w:t>
      </w:r>
    </w:p>
    <w:p>
      <w:r>
        <w:t>163. The decision-making department cannot discern to what extent the contribution of the expertise of Party 1 and its knowledge in cooperation with the professional representatives in risk-relevant legislative processes serves efficiency. According to the assessment of the decision-making department, the benefit presented by the parties in this regard is based on the decades-long secured monopoly position of Party 1 and its traditionally very close cooperation with the co-party 1. The information regarding the organization and tasks of co-party 1 on its website can also be understood in no other way. According to this, co-party 1 "forms a parity committee with the insurance office for economic auditing and fiduciary services, whose goal, in addition to the rapid, unbureaucratic processing of claims, is their prevention through education and appropriate promotion of professional work." The relativization of the close cooperation presented by co-party 1 does not convince the decision-making department. Rather, co-party 1 should be understood as a public law corporation – which, according to § 75 WPO, has the duty to "safeguard the professional interests of all its members."</w:t>
      </w:r>
    </w:p>
    <w:p>
      <w:r>
        <w:rPr>
          <w:b/>
        </w:rPr>
        <w:t>[Pages 67–69]</w:t>
      </w:r>
    </w:p>
    <w:p>
      <w:r>
        <w:t>67</w:t>
        <w:br/>
        <w:t>and solely committed to the interests of the profession of WP/vBP, should be able to adequately represent the interests of the profession in legislative processes. To the extent that Party 1 has acted at the "request or instigation of the policyholders," it seems somewhat strange from a market-oriented perspective that the Beigeladene zu 1. sees the interests of the WP/vBP best represented by Party 1 (the opposing market side). The decision-making department does not see any appreciable efficiency gain in this vertical connection in terms of the conditions for exemption. Furthermore, the survey of competitors revealed that the Beigeladene zu 1. does not collaborate with competitors of Party 1 in anything like the same manner and utilizes the experiences of other market participants to a significantly lesser extent.</w:t>
      </w:r>
    </w:p>
    <w:p>
      <w:r>
        <w:t>164. The efficiency gain put forward in relation to the procurement of reinsurance coverage, in the opinion of the decision-making department, follows from the market-dominating position held by Party 1 for decades. Market investigations have shown that competitors have always been able to procure the reinsurance capacities required for the VSH insurance of WP/vBP both domestically and abroad (London market). Regarding the statement cited by Party 1 in its submission of January 24, 2007, from Meßmer, that reinsurance capacities are only available to a limited extent, he further elaborated: "Reinsurance capacities are only available to a limited extent; control of accumulations, e.g., with other exposed lines such as D&amp;O insurance for managers, is highly emphasized." A direct relationship to the reinsurance capacities for VSH insurances for WP/vBP cannot be derived from these general statements. Even if the reinsurance market is not characterized by overcapacity or should not be, none of the surveyed providers of VSH insurance for WP/vBP claimed that they could not procure the requested reinsurance coverage – even for higher coverage amounts. Apparently, no competitor has had to abandon the VSH insurance business for WP/vBP due to a lack of reinsurance coverage. Consequently, reinsurance companies also assume that all competitors possess the necessary technical competence to insure VSH risks for WP/vBP. An efficiency gain may possibly arise from the existing cooperation of Parties 2 to 5 within the framework of the activities of Party 1 in such a way that optional reinsurance coverage for Party 1 is generally less significant or that it receives more favorable conditions due to its size advantage. The assertion of Party 1 that the accumulated know-how and expertise would expand available reinsurance capacities is not plausible. There is no justification for the assessment that without Party 1, reinsurers would have to reduce their capacities and demand higher prices for reinsurance coverage due to an expected higher claims need in primary insurance. The more favorable reinsurance premiums that Party 1 claims for itself when procuring reinsurance capacity are, in the opinion of the decision-making department – which sees itself confirmed by the submission of Party 5 – based on its historically established strong market position as a specialized provider of VSH insurances for WP/vBP.</w:t>
      </w:r>
    </w:p>
    <w:p>
      <w:r>
        <w:t>165. Reinsurance capacities for large projects, such as major transactions and IPOs, can be disregarded here, as these large risks generally fall within the scope of the "Big 4" or typically concern optional reinsurance coverage that must be negotiated individually with reinsurers. Finally, Parties 1 to 5 have not stated to what extent reinsurance coverage (optional, mandatory) is needed and what their share (measured in BBE) of the risks given in reinsurance is. An assessment of the facts by the decision-making department is therefore not possible.</w:t>
      </w:r>
    </w:p>
    <w:p>
      <w:r>
        <w:t>166. It has not been substantiated what "significant" synergies and lower administrative costs are achieved in the cooperation of Parties 2 to 5 compared to individual activities. Through the bundling of specialized know-how in risk assessment and premium calculation, Parties 2 to 5 do not require specific underwriting competence on their own. Likewise, efficiency gains can be derived from joint portfolio management and claims handling know-how, which can in turn lead to cost savings. Nevertheless, there is also a lack of substantiation here.</w:t>
      </w:r>
    </w:p>
    <w:p>
      <w:r>
        <w:t>167. The parties have stated that Party 1 is able to determine the late damage expense based on 15 years of experience and the actuarial calculations of Tillinghast and to structure its premiums in such a way that late damages can also be settled. Only through the cooperation has it become possible for Parties 2 to 5 to insure such "long-tail" risks, as represented by the VSH insurance for WP/vBP, and to ensure the required solvency. This reduces the risk that Parties 2 to 5 would withdraw from the market due to unexpectedly volatile claims developments. Additionally, policyholders have greater assurance through the activities of Party 1 that insurance coverage will also be available in the future, especially for long-past years of violation. To what extent an efficiency gain arises from this, the decision-making department cannot recognize. Gerling, as the main competitor of Party 1, seems to be able to assess the addressed "long-tail" risks and obviously underwrite them at market-appropriate premiums and conditions with actuarial prudence without having to refer to a necessary cooperation with competitors.</w:t>
      </w:r>
    </w:p>
    <w:p>
      <w:r>
        <w:t>168. The assertion of Beigeladene zu 2. that the cooperation of Parties 2 to 5 makes the total contract solutions demanded by WP/vBP and offered by Party 1 possible cannot be agreed with. Beigeladene zu 2. refers in its letter to statements from other market participants, as recorded in the procedural file. According to this, the total contract solutions offered by Party 1 would have to be contrasted with a splitting model. In fact, the referenced market participant stated the following: "Excess insurances are being requested by larger clients, which require significant coverage amounts beyond the mandatory insurance."</w:t>
      </w:r>
    </w:p>
    <w:p>
      <w:r>
        <w:rPr>
          <w:b/>
        </w:rPr>
        <w:t>[Pages 70–72]</w:t>
      </w:r>
    </w:p>
    <w:p>
      <w:r>
        <w:t>70</w:t>
        <w:br/>
        <w:t>have. In this context, so-called splitting models (i.e., the combination of a basic coverage with an excess) compete with total insurance contracts from an insurer. From the customer's perspective, cost considerations often favor the splitting variant, while a unified insurance with one insurer offers simpler claims processing. [...] It should be noted that in mass business, an excess solution is generally not pursued because established insurers can usually provide the requested coverage amounts on their own. As far as customers see efficiency advantages in a total contract solution, this applies to all offering insurance companies; these total contract solutions are not only made possible by the cooperation of Parties 2 to 5 but are also offered by competitors of Party 1, in accordance with the wishes of customers.</w:t>
      </w:r>
    </w:p>
    <w:p>
      <w:r>
        <w:t>169. In conclusion, it should be noted that the claimed efficiency gains either do not exist in principle or have not been sufficiently quantified. Even if certain efficiencies were present, the exemption fails due to the other requirements of Art. 81(3) EC.</w:t>
      </w:r>
    </w:p>
    <w:p>
      <w:r>
        <w:t>II.2.2.2 Second Requirement to be Examined under Art. 81(3) EC: Necessity of the Competition Restriction</w:t>
      </w:r>
    </w:p>
    <w:p>
      <w:r>
        <w:t>170. According to the third requirement of Art. 81(3) EC, which has been prioritized in the examination sequence, no competition restrictions may be imposed that are not essential for achieving the claimed efficiency gains through the agreement.</w:t>
      </w:r>
    </w:p>
    <w:p>
      <w:r>
        <w:t>171. The third exemption requirement demands a two-step examination. First, the agreement must be overall necessary for the realization of the efficiency gains, and second, the individual competition restrictions resulting from the agreement must be necessary for the realization of the efficiency gains. Once it is established that the agreement is necessary for the realization of the efficiency gains, the necessity of each competition restriction resulting from the agreement must be assessed. It must be determined whether the individual restrictions are required to achieve the efficiency gains. The contracting parties must substantiate their claims regarding the nature and extent of the restriction. A competition restriction is essential if, without it, the efficiency gains resulting from the agreement would be eliminated or significantly reduced, or the likelihood of their occurrence would decrease. In assessing alternative solutions, the actual and potential improvement of competition through the removal of the restriction or the choice of a less restrictive alternative must be taken into account. The more pronounced the competition restrictions, the stricter the examination according to the third requirement will be. The assessment of the competition restriction takes place within the framework of the actual economic environment in which the agreement is applied, particularly considering the market structure, the economic risks associated with the agreement, and the incentives for the parties.</w:t>
      </w:r>
    </w:p>
    <w:p>
      <w:r>
        <w:t>172. The parties argue that the contractual agreement is limited to the content necessary for the implementation of a co-insurance community. The establishment of uniform premiums and insurance conditions is a necessary measure for co-insurance communities. The necessity of this regulation is recognized by the Insurance Block Exemption Regulation and by the Commission's decision in the case of P&amp;I Clubs. For achieving efficiency gains, the joint professional liability insurance for WP/vBP together with the "Big 5" is essential. Party 1 can only obtain the larger number of risks required for the necessary claims settlement over longer periods through the joint insurance of the "Big 5" and the medium and smaller WP/vBP. While the claims frequency is comparatively high among the "Big 5" due to the large number of insured professionals, it is rather lower among the medium and smaller WP/vBP. In contrast, in these risk groups, the claim amount in relation to the premium is "tendentially comparatively large." The higher number of insured risks results in a risk compensation for the benefit of all insured parties. The inclusion of the entire range of VSH risks in the agreement is necessary to contribute to offsetting the high inherent damage risk of the "Big 5" through the multitude of smaller and medium WP/vBP with a relatively low claims frequency. Furthermore, the retention of the necessary know-how and corresponding staff for claims processing allows for the handling of the comparatively less frequent claims of medium and smaller auditors at the level of large audit firms.</w:t>
      </w:r>
    </w:p>
    <w:p>
      <w:r>
        <w:t>173. As far as the parties refer to the Commission's decision regarding the P&amp;I Clubs, this decision does not take into account the cooperation of the parties in the present case. The exemption granted by the Commission in the P&amp;I Club case (Nos. 1 and 2) is specifically tailored to the situation of P&amp;I insurance, despite hindering customers in their choice of possible insurers, and does not readily allow for generalization to other insurance markets. The Commission justified the individual exemption granted regarding the so-called International Group Agreement with the resulting possible reduction of premiums and the better and expedited claims processing as well as elastic and unlimited coverage. The claims sharing agreement was not regarded by the Commission as a competition restriction, as it only opened up the possibility for insurers to "pool their resources and enrich the insurance market with a new player."</w:t>
      </w:r>
    </w:p>
    <w:p>
      <w:r>
        <w:t>174. The first step of the examination requires that possible efficiency gains can only be achieved through the agreement. That is, there must be no other economically feasible and less competition-restrictive options to achieve these efficiencies. In this context, the specific market conditions and the business circumstances faced by the contracting parties to the agreement must be taken into account.</w:t>
      </w:r>
    </w:p>
    <w:p>
      <w:r>
        <w:t>175. The parties have asserted that "there can be no reasonable doubt that the explained efficiency gains can only be achieved through an institutionalized co-insurance community and not through insurance companies."</w:t>
      </w:r>
    </w:p>
    <w:p>
      <w:r>
        <w:rPr>
          <w:b/>
        </w:rPr>
        <w:t>[Pages 73–75]</w:t>
      </w:r>
    </w:p>
    <w:p>
      <w:r>
        <w:t>73</w:t>
        <w:br/>
        <w:t>"can only be achieved through an institutionalized co-insurance community and not solely through insurance companies or ad hoc consortia."120 The decision-making department does not see evidence for this or for the exclusion of justified doubts.</w:t>
      </w:r>
    </w:p>
    <w:p>
      <w:r>
        <w:t>176. The question that needs to be answered regarding the necessity of the agreement is therefore: Is the cooperation of Parties 2 to 5 within the framework of the activities of Party 1 (excluding the "Big 4") truly indispensable in order to be able to underwrite the corresponding risks, or are there alternative possibilities to offer the professional liability insurances (VSH) for WP/vBP provided within the framework of the cooperation of Parties 2 to 5? In other words, can the minimum number of policyholders required for insuring the VSH risks of WP/vBP, particularly with regard to actuarial calculations according to the law of large numbers, only be provided through the co-insurance community of Parties 2 to 5, or is risk assumption, excluding the "Big 4," also possible through sole underwriting by Parties 2 to 5, through co-insurances with varying participation of Parties 2 to 5 and other competitors, or possibly also through splitting models (basic coverage or extended basic coverage and subsequent excess coverage)?</w:t>
      </w:r>
    </w:p>
    <w:p>
      <w:r>
        <w:t>177. In the case P&amp;I No. 2, the Commission viewed the market shares of the insurance companies operating in the market that can provide this type of insurance service alone as direct evidence for the insurance volume required to provide a specific insurance service.121 In that case, it concluded that only very few independent insurers (the largest with a market share of 2%) offered relatively low insurance coverage, so that the required minimum insurance coverage made the pooling agreement necessary. The assessment made by the Commission does not apply in this case, as the market investigations have shown, contrary to the opinion of the parties involved.</w:t>
      </w:r>
    </w:p>
    <w:p>
      <w:r>
        <w:t>178. As stated above, the claimed efficiency gains primarily arise from the actuarial principle of the law of large numbers. For the application of the stochastic law, the cooperation of Parties 2 to 5 within the framework of the activities of Party 1 is not essential. All competitors operating in the market are capable of offering the required minimum coverage or extended basic coverages (which account for 92.6% of all contracts) at an appropriate quality and premium level, even without risk diversification through co-insurance. Three other competitors of Party 1 – particularly Gerling – are also able to provide the higher insurance coverage demanded by WP/vBP (excluding the "Big 4"). The underwriting of the coverage amounts requested by WP/vBP is based both on total contract solutions and on splitting models, depending on customer preference. The investigations have shown that there are indeed realistic alternative offers on the market compared to the offers of Party 1. This is emphatically documented by the recent shifts of policyholders to competitors, particularly to Gerling, in the context of the tariff adjustment of Party 1. The accusation raised by the parties that the premiums charged by Gerling were not sufficient was rejected by Gerling and, on the other hand, does not withstand scrutiny even if it were temporarily the case. The market presence of competitors and specifically the market position of Gerling proves that insurance companies can efficiently underwrite VSH risks for WP/vBP even without cooperation in a long-term co-insurance community, as represented by the cooperation of Parties 2 to 5, taking into account actuarial principles and laying a sufficient range of risks as the basis for their premium calculations.</w:t>
      </w:r>
    </w:p>
    <w:p>
      <w:r>
        <w:t>179. Parties 2 to 5 are among the significant and resource-strongest insurance companies in Germany. The decision-making department sees no reason why they should not be equally capable of sole underwriting as other – partly less resource-strong – individual providers. As members of Party 1, Parties 2 to 5 have had unrestricted access for decades to the premium calculations of Party 1 and the actual claims history of the VSH insurance for WP/vBP. They have considerable experience in the risk assumption of the relevant insurance products. Without extensive expertise, they would not be able to bear the corresponding risks and form the necessary reserves for solvency. They also have unrestricted access to the necessary claims statistics as a fundamental prerequisite for future premium calculations. Regarding the "long-tail" risks raised by the parties, they have already had to form long-term reserves in accordance with the principle of liability. Thus, it is excluded that Parties 2 to 5 can no longer ensure the claims settlements for existing contracts. Furthermore, the cooperation of Parties 2 to 5 regarding the retrospective claims settlement arising from the principle of liability is not the subject of this decision.</w:t>
      </w:r>
    </w:p>
    <w:p>
      <w:r>
        <w:t>180. To the extent that Parties 2 to 5 assert that their cooperation within the framework of Party 1 is indispensable for tariff calculation because risk distribution has a significant fluctuation risk and individual large loss events could result in enormous fluctuations in small portfolios, the market investigations have not confirmed this. Although WP/vBP risks show a significant fluctuation risk that can potentially lead to a considerable burden on the results for an insurance company (e.g., depletion of premium income from one or several insurance years), the cooperation of insurance companies for risk bundling is not necessarily required to offset such fluctuation risks. As with the insurance portfolio of Party 1, the WP/vBP risks in the portfolios of their competitors do not represent a homogeneous unit regarding the range of policyholders (individual practices, WPG, smaller partnerships) and risk fluctuations. This implies that competitors with similarly non-homogeneously structured and differently sized insured communities can base a volatile result burden on their actuarial calculations and can ultimately bear the risk of VSH insurances for WP/vBP alone.</w:t>
      </w:r>
    </w:p>
    <w:p>
      <w:r>
        <w:t>181. To the extent that Parties 2 to 5 claim that a significant efficiency gain exists in that Party 1 is able to qualify against its competitors...</w:t>
      </w:r>
    </w:p>
    <w:p>
      <w:r>
        <w:rPr>
          <w:b/>
        </w:rPr>
        <w:t>[Pages 76–78]</w:t>
      </w:r>
    </w:p>
    <w:p>
      <w:r>
        <w:t>76</w:t>
        <w:br/>
        <w:t>higher quality in the market, the market surveys did not yield a clear result. However, in such an assessment, the dominant market position of Party 1 is likely to be the decisive evaluation factor for the market counterpart. This follows from the fact that the market surveys have shown that many WP/vBP were not aware in the past and still are not fully aware of who can be considered as providers of VSH insurance outside of Party 1. The overview of VSH insurance providers for WP/vBP published by the co-defendant 1 on its website – which also includes Parties 2 to 5 in detail – has, to the knowledge of the decision-making department, only been published by co-defendant 1 since 2003. Even if efficiencies regarding their service, particularly in claims handling, should arise from the long-standing activities of Party 1, the cooperation of Parties 2 to 5 is not essential for that.</w:t>
      </w:r>
    </w:p>
    <w:p>
      <w:r>
        <w:t>182. According to the submissions of the parties, as stated above, the agreement in its current implementation amounts to ensuring the insurability of the "Big 5" at a normal level through the multitude of VSH insurances for smaller and medium-sized WP/vBP. The smaller and medium-sized policyholders benefit from the fact that the provision of the necessary know-how and corresponding staff for claims handling allows for the processing of the comparatively less frequent claims of smaller and medium-sized WP/vBP at a high level. According to the assessment of the decision-making department, this argument aims to show that by including the multitude of smaller and medium-sized WP/vBP in the insured community of Party 1, significant efficiencies for the insurability of the "Big 4" arise, which, however, do not equally benefit the majority of the insured community – and especially not the smaller WP/vBP. Since the "Big 4" are not considered in the discretionary decision of the decision-making department, no further examination and discussion is required in this regard. Regarding the insured community of smaller and medium-sized WP/vBP (i.e., without considering the "Big 4"), the cooperation of Parties 2 to 5 is not indispensable. This is also evident from the insurer change triggered by the tariff adjustment of Party 1 by smaller and medium-sized WP/vBP due to significant premium increases without consideration of claims-free periods. Competitors have been and can provide insurance capacities and offer the required insurance coverage – and in the case of Gerling even at more favorable premiums and conditions. The underlying potential for risks in the insurance portfolio of competitors is therefore, according to the law of large numbers, sufficient to underwrite VSH insurances for WP/vBP.</w:t>
      </w:r>
    </w:p>
    <w:p>
      <w:r>
        <w:t>183. Parties 2 to 5 are – possibly with the exception of the "Big 4" – fully capable of offering their own VSH insurances for WP/vBP, as is currently done by Party 1. Parties 2 to 5 can fully rely on decades of underwriting and claims handling expertise and on the experiences of Party 1 in customer relations, without being confronted with the uncertainties that may arise for a new provider due to a lack of market knowledge and reputation. [...].123</w:t>
      </w:r>
    </w:p>
    <w:p>
      <w:r>
        <w:t>184. The activities of Party 1 do not, as co-defendant 2 has pointed out, contribute to the functionality of the market. The fact that Gerling left Party 1 as a member some time ago disproves this objection. The market entry of Gerling as a competitor to Party 1 has led to market opening and a reduction of the monopoly position of Party 1 in the relevant market. Therefore, Party 1 is not indispensable as a strong alternative provider to Gerling in the interest of functioning competition. Likewise, its activities do not provide an essential guarantee that VSH insurances for WP/vBP are offered where they are demanded. Contrary to the assertion of co-defendant 2, the decision-making department assumes that the market for VSH insurances – as is generally customary in a market economy system and evidently feasible in other insurance sectors – will regulate itself in the future through supply and demand.</w:t>
      </w:r>
    </w:p>
    <w:p>
      <w:r>
        <w:t>185. As a result of the examination, it can be concluded that the cooperation of Parties 2 to 5 within the framework of the activities of Party 1 is not an essential prerequisite for achieving the claimed efficiencies.</w:t>
      </w:r>
    </w:p>
    <w:p>
      <w:r>
        <w:t xml:space="preserve">II.2.2.3 Third Condition to be Examined under Art. 81(3) EC: </w:t>
        <w:br/>
        <w:t>Appropriate Profit Sharing for Consumers</w:t>
      </w:r>
    </w:p>
    <w:p>
      <w:r>
        <w:t>186. The term "appropriate participation" of consumers means that the benefits passed on must at least offset the actual or anticipated negative effects that arise for consumers due to the restriction of competition.124</w:t>
      </w:r>
    </w:p>
    <w:p>
      <w:r>
        <w:t>187. The investigations have shown that Party 1, despite the cooperation of Parties 2 to 5 and the associated risk pooling, does not offer a more favorable premium level than its competitors. According to the unanimous opinion of the surveyed market participants, Gerling, as the main competitor, has its insurance premiums for VSH insurances for WP/vBP visibly below the premium level of Party 1. To what extent the higher service level claimed by the parties for WP/vBP is beneficial cannot be quantified by the decision-making department. The submissions available on this matter from the parties and co-defendants are more general in nature and not easily measurable.</w:t>
      </w:r>
    </w:p>
    <w:p>
      <w:r>
        <w:t>188. However, the parties argue that the cooperation of Parties 2 to 5 within the framework of the activities of Party 1 directly benefits the WP/vBP insured by it, as Party 1 grants them significant informational rights regarding costs as well as premium and condition design through cooperation with co-defendant 1 and the Federal Chamber of Tax Advisors. This leads to significantly higher transparency in the design of insurance relationships than is the case with competitors. While Party 1 may grant co-defendant 1 some transparency in its actuarial calculations, what advantage this brings to the individual WP/vBP insured by it is not obvious. Especially during the phase of their tariff adjustment, smaller and medium-sized WP/vBP – as the market surveys have shown – at least...124 Guidelines COM, para. 85</w:t>
      </w:r>
    </w:p>
    <w:p>
      <w:r>
        <w:rPr>
          <w:b/>
        </w:rPr>
        <w:t>[Pages 79–81]</w:t>
      </w:r>
    </w:p>
    <w:p>
      <w:r>
        <w:t>79</w:t>
        <w:br/>
        <w:t>no advantages passed on to them by Party 1, but rather felt disadvantaged, as they were exposed to significant premium increases despite being completely or long-term free of claims. The amount of the insurance premium represents a significant cost block, especially for small and medium-sized WP/vBP, in contrast to larger WPG and the "Big 4." A passing on of advantages by Party 1 is not discernible based on its premium level.</w:t>
      </w:r>
    </w:p>
    <w:p>
      <w:r>
        <w:t>190. In its guidelines on Art. 81(3) EC, the Commission notes that a temporal delay in passing on efficiency gains to consumers does not exclude the application of Art. 81(3) EC. The longer the temporal delay, the greater the efficiency gains passed on to consumers must be to compensate for the losses incurred during the elapsed time. This also includes the necessity to discount the value of future gains for consumers to offset interest and inflation losses.</w:t>
      </w:r>
    </w:p>
    <w:p>
      <w:r>
        <w:t>193. A consumer benefit could, however, be present in the direct repayment of surpluses to the insured community. However, this does not necessarily require the cooperation of Parties 2 to 5 within the framework of the activities of Party 1.</w:t>
      </w:r>
    </w:p>
    <w:p>
      <w:r>
        <w:t>194. As a result, no appropriate participation of consumers in the claimed efficiency gains is discernible.</w:t>
      </w:r>
    </w:p>
    <w:p>
      <w:r>
        <w:t>II.2.2.4 Fourth Condition to be Examined under Art. 81(3) EC: No Elimination of Competition for a Significant Part of the Relevant Market</w:t>
      </w:r>
    </w:p>
    <w:p>
      <w:r>
        <w:t>195. According to the fourth condition of Art. 81(3) EC/§ 2(1) GWB, the agreement must not allow the participating companies to eliminate competition for a significant part of the relevant goods. The criterion – elimination of competition for a significant part of the relevant markets – concerns the issue of market dominance. If a company holds a dominant market position or obtains one as a result of a horizontal agreement, an agreement that shows anti-competitive effects in the sense of Art. 81 cannot generally be exempted.</w:t>
      </w:r>
    </w:p>
    <w:p>
      <w:r>
        <w:t>196. In light of the general market conditions, the parties exclude that the activities of Party 1 eliminate competition. They justify this by stating that the market share held by Party 1 is significantly below the market share that the Commission assessed in the P&amp;I Club case as not eliminating competition. Moreover, the market share of Party 1, without the "Big 5," does not indicate an elimination of competition, and the market share of Party 1 is declining. The finding that the activities of Party 1 do not eliminate competition is even more valid since the main competitor, Gerling, has been able to continuously increase its market share and now holds a higher market share than Party 1. According to the investigations of the decision-making department, WP/vBP were temporarily able to insure their risks with competitors of Party 1 – particularly with Gerling – during the tariff adjustment of Party 1. Gerling was thus able to significantly expand its market share. The reallocation of professional liability insurance triggered by premium increases also demonstrated that there is effective premium competition. Finally, it should be noted that short-term market entries, particularly by foreign competitors, are possible. The new entries of competitors Nassau, Hiscox, and Zurich confirm the absence of relevant entry barriers and the existence of effective competitive pressure, among other things, through potential competition.</w:t>
      </w:r>
    </w:p>
    <w:p>
      <w:r>
        <w:t>197. The arguments of the parties regarding the existence of the fourth exemption condition are not convincing. The relevant market share assessed by the Commission in the P&amp;I Club case as not eliminating competition – as outlined in paragraph 171 – does not convincingly justify the absence of competition elimination by Party 1, nor has Gerling achieved a revenue-related market share exceeding that of Party 1 (based on BBE). The market opening initiated particularly by Gerling is only partial; a market characterized by competition is not yet evident. The market share gap between Gerling as a significant competitor and Party 1 is still over 20 percentage points, despite significant market share gains. The temporary market share increase of Gerling due to the tariff adjustment of Party 1, resulting from significant premium increases, especially for smaller WP/vBP, has been halted since 2005; Party 1 even achieved a slight market share increase in 2006. The other VSH insurers for WB/vBP, measured by their market share and market behavior, are not serious competitors for Party 1; thus, a sustainably effective premium competition is not discernible. According to the investigations, it is also not expected that new competitors (from abroad) plan to enter the market as long as the market is dominated by Party 1. The short-term market entries cited by the parties have so far not gained any significant market relevance and cannot seriously challenge the market position of Party 1.</w:t>
      </w:r>
    </w:p>
    <w:p>
      <w:r>
        <w:t>198. The massive premium increases that Party 1 can enforce within the framework of its tariff adjustment without fundamentally losing its market position based on BBE suggest that Party 1 – also through close cooperation with the intervenor 1 – still possesses a considerable degree of market power. Except for the tariff adjustment phase, during which Party 1 temporarily lost market shares, it is not genuinely exposed to continuous competition that could limit its behavioral scope. The parties accepted market share losses during this phase to enforce higher premiums by not countering the [...] lower premium level of Gerling with competitive offers.</w:t>
      </w:r>
    </w:p>
    <w:p>
      <w:r>
        <w:rPr>
          <w:b/>
        </w:rPr>
        <w:t>[Pages 82–84]</w:t>
      </w:r>
    </w:p>
    <w:p>
      <w:r>
        <w:t>82</w:t>
        <w:br/>
        <w:t>199. It should also be noted that the de facto obligation to contribute131 of professional liability insurance (VSH) for legal professions (WP/vBP) by Parties 2 to 5 to Party 1 does not allow for sufficient internal competition among these competitors. The lack of internal competition cannot be compensated by current or potential external competition. Although Party 1 faces an important competitor in Gerling, this does not compensate for the restriction of competition that arises from the cooperation of Parties 2 to 5, which removes more than half of the relevant market from competition; this is contrary to a free market development. Furthermore, the profit-sharing model agreed upon with the intervenor 1 contributes to the restriction of competition in the relevant market, as its purpose is to solidify the current market position of Party 1.</w:t>
      </w:r>
    </w:p>
    <w:p>
      <w:r>
        <w:t>200. As a result of the examination, the fourth criterion to be assessed under Art. 81(3) EC is not fulfilled.</w:t>
      </w:r>
    </w:p>
    <w:p>
      <w:r>
        <w:t>II.3 Commitments according to § 32b GWB</w:t>
        <w:br/>
        <w:t>201. [...].</w:t>
        <w:br/>
        <w:t>202. The proposal for the commitment was rejected by the decision-making department as fundamentally unsuitable to avert the established violation of Art. 81(1)/§ 1 GWB. According to the assessment of the decision-making department, the proposed commitment would not lead to any noticeable change in the existing market situation. [...].</w:t>
        <w:br/>
        <w:t>203. The commitment proposed in the letter dated December 5, 2006, [...], was also not suitable to eliminate the violation established in the proceedings under Art. 81(1) EC or § 1 GWB.</w:t>
        <w:br/>
        <w:t>204. [...]</w:t>
      </w:r>
    </w:p>
    <w:p>
      <w:r>
        <w:t>III. Discretion</w:t>
        <w:br/>
        <w:t>131 according to the available revenue figures of Parties 2 to 5. A characteristic of an insurance pool is also an obligation to contribute. See also Brinker: Rights and Duties of the Leading Insurer in Co-Insurance, p. 1f, in: www.gleisslutz.com/media.php/Veröffentlichungen/Downloads/GleissLutz_Brinker_2003-08-22.pdf?dl=1</w:t>
      </w:r>
    </w:p>
    <w:p>
      <w:r>
        <w:t>83</w:t>
        <w:br/>
        <w:t>205. According to § 32 GWB, it is at the discretion of the Federal Cartel Office to require companies or agreements of companies to cease a violation of Art. 81 EC or § 1 GWB. After weighing all affected interests, the interest in ending the coordinated cooperation of Parties 2 to 5 within the framework of the activities of Party 1 for the insurance of VSH risks for WP/vBP (excluding the "Big 4") outweighs, taking into account the transitional periods mentioned in the ruling.</w:t>
      </w:r>
    </w:p>
    <w:p>
      <w:r>
        <w:t>206. The violation by Parties 2 to 5 within the framework of the activities of Party 1 lies in the joint insurance of VSH risks for WP/vBP through a co-insurance community that is not exempt from antitrust law, in which Parties 2 to 5 offer VSH insurance for WP/vBP at uniform gross premiums and insurance conditions. The restriction of competition emanating from the co-insurance community is severe due to the historically entrenched market position of Party 1 in the relevant market. The cooperation of Parties 2 to 5 within the framework of the activities of Party 1 contributes to the fact that, due to uniform gross premiums and insurance conditions, no competitive prices can arise for a significant part of the relevant market.</w:t>
      </w:r>
    </w:p>
    <w:p>
      <w:r>
        <w:t>207. In exercising discretion, it was also necessary to consider to what extent the parties would independently make decisions to cease the ongoing violation of Art. 81 EC/§ 1 GWB. An antitrust-compliant solution is not to be expected, taking into account the commitments submitted by the parties in the proceedings according to § 32b GWB. Therefore, the restriction of competition arising from the cooperation of the parties is no longer tolerable, considering the transitional periods mentioned in the ruling.</w:t>
      </w:r>
    </w:p>
    <w:p>
      <w:r>
        <w:t>208. Since autumn 2003132, Parties 2 to 5 have been aware that the decision-making department is examining the joint insurance of VSH risks for WP/vBP as a competition-restricting agreement. After the initiation of the present proceedings in 2005, the decision-making department has repeatedly explained to the parties, both in writing and orally, the reasons for the existence of a competition-restricting agreement.</w:t>
      </w:r>
    </w:p>
    <w:p>
      <w:r>
        <w:t>209. The present decision aimed at the cooperation of Parties 2 to 5 within the framework of the activities of Party 1 seeks to ensure that the balance between premium and condition competition on the one hand and the security of supply for WP/vBP to insure their professional risks is not jeopardized. The decision-making department has taken into account the arguments presented in this regard and has based its assessment on them. The transitional periods mentioned in the ruling are appropriate to give Parties 2 to 5, as providers of VSH insurance for WP/vBP, the opportunity to create and implement the necessary entrepreneurial conditions for an independent market presence.</w:t>
      </w:r>
    </w:p>
    <w:p>
      <w:r>
        <w:t>210. The decision-making department considers Parties 2 to 5 capable of entering the market independently. A justified assumption for this is that Parties 2 to 5, as permanent representatives of the member committee of Party 1, already possess many years of actuarial experience in VSH insurance for WP/vBP and knowledge in assessing damage events. According to § 12 of the articles of association of Party 1, the tasks of the member committee include, among other things, the design and interpretation of conditions and tariffs, the regulation of major damages, the determination of business results, premium adjustments, and sums insured. Furthermore, Parties 2 to 5 are exclusively globally operating, financially strong, and market-bound insurance companies. Against the complete abandonment of the VSH insurance business for WP/vBP by any of Parties 2 to 5 is the fact that, based on the loss ratios in recent years following the tariff adjustment, it currently represents a viable business with actuarially positive results. An unconditional waiver of this business is unlikely under the given conditions. As "global players" and significant providers in adjacent liability insurance markets, the parties must also consider not to allow any negative impact on their overall image among differentiated demand groups.</w:t>
      </w:r>
    </w:p>
    <w:p>
      <w:r>
        <w:rPr>
          <w:b/>
        </w:rPr>
        <w:t>[Pages 85–87]</w:t>
      </w:r>
    </w:p>
    <w:p>
      <w:r>
        <w:t>85</w:t>
        <w:br/>
        <w:t>211. The establishment of transition periods addresses the concerns regarding the maintenance of supply security and the objections raised by Parties 1 to 3 and 5 in the meeting on March 21, 2007, regarding the immediate enforceability of the order, which fundamentally aligned with the concerns raised by the interveners 1 and 2 in their written submissions. The order will neither lead to the collapse of the market nor to an "insurance emergency," which has also been confirmed by market surveys among demanders.</w:t>
      </w:r>
    </w:p>
    <w:p>
      <w:r>
        <w:t>212. Furthermore, Intervener 2 has suggested that the activities of Parties 1 should at least be tolerated for the time being. During the tolerance phase, it could be observed whether the expected market entries occur in Germany, how the liability regime changes, what impact this has on the market, and how the market share development will proceed, particularly in light of the high number of contracts signed with Gerling in recent years.</w:t>
      </w:r>
    </w:p>
    <w:p>
      <w:r>
        <w:t>213. The transition period is appropriate and logical in this case to give Parties 2 to 5 as well as the demanders for VSH insurance for WP/vBP the opportunity to adapt to the new market conditions and to obtain competitive offers. It should also be taken into account that the majority of demanders are small and medium-sized WP/vBP who need to reorient themselves in the market. VSH insurance for WP/vBP is generally based on annual contracts, the renewal of which is imminent this year.</w:t>
      </w:r>
    </w:p>
    <w:p>
      <w:r>
        <w:t>214. An independent market presence of the parties requires preparatory measures regarding both insurance-specific and personnel measures, so a transition phase must be allowed. In the opinion of the decision-making department, a period of just over one year is sufficient for Parties 2 to 5 and, considering the findings mentioned above in paragraph 210, is also appropriate to comprehensively prepare for an independent market presence.</w:t>
      </w:r>
    </w:p>
    <w:p>
      <w:r>
        <w:t>215. The decision-making department sees no room for further tolerance of the activities of the parties in accordance with the suggestion of Intervener 2 in its submission of May 11, 2007. The cooperation of Parties 2 to 5 within the framework of the activities of Party 1 constitutes a serious restriction of competition; a tolerance would, particularly against the backdrop of the recent market share development (2006) and the profit-sharing model agreed with Intervener 1, solidify the existing market structures and oppose free market development.</w:t>
      </w:r>
    </w:p>
    <w:p>
      <w:r>
        <w:t>216. The transition period also provides the demand side with sufficient and ongoing insurance coverage and gives it the opportunity to adapt to the new market conditions after decades of insurability almost exclusively through Parties 1, to conduct market explorations, and to obtain competitive offers. The order aims to activate competition by breaking up a cartel that has dominated the market for decades and to enable new significant market entries.</w:t>
      </w:r>
    </w:p>
    <w:p>
      <w:r>
        <w:t>C.</w:t>
        <w:br/>
        <w:t>Fees</w:t>
        <w:br/>
        <w:t>217. [...].</w:t>
        <w:br/>
        <w:t>218. [...].134</w:t>
        <w:br/>
        <w:t>219. [...].</w:t>
        <w:br/>
        <w:t>NOTICE OF APPEAL</w:t>
        <w:br/>
        <w:t>An appeal against this decision is permissible. It must be submitted in writing within one month of the delivery of the decision to the Federal Cartel Office, Kaiser-Friedrich-Straße 16, 53113 Bonn. However, it is sufficient if it is received within this period by the appellate court, the Higher Regional Court of Düsseldorf.</w:t>
      </w:r>
    </w:p>
    <w:p>
      <w:r>
        <w:t>The appeal must be substantiated by a written submission filed with the Federal Cartel Office or the appellate court. The deadline for the appeal substantiation is two months. It begins with the delivery of the contested order and can be extended upon request by the presiding judge of the appellate court. The appeal substantiation must contain a statement indicating the extent to which the decision is being contested and the request for its amendment or repeal, and must specify the facts and evidence, including any new ones, on which the appeal is based.</w:t>
      </w:r>
    </w:p>
    <w:p>
      <w:r>
        <w:t>The appeal and the appeal substantiation must be signed by a lawyer.</w:t>
      </w:r>
    </w:p>
    <w:p>
      <w:r>
        <w:t xml:space="preserve">The appeal does not have suspensive effect. Upon request, the appellate court may order the suspensive effect of the appeal in whole or in part. </w:t>
        <w:br/>
        <w:t>Hossenfelder Dr. Strauß Dr. Kölzow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