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https://www.bundeskartellamt.de/SharedDocs/Entscheidung/DE/Entscheidungen/Fusionskontrolle/2013/B4-44-13.pdf;jsessionid=D1A3FDA237211C45DB3FD30B2F28FF18.2_cid362?__blob=publicationFile&amp;v=4</w:t>
      </w:r>
    </w:p>
    <w:p>
      <w:r>
        <w:t>Pages translated : 57</w:t>
      </w:r>
    </w:p>
    <w:p/>
    <w:p>
      <w:r>
        <w:rPr>
          <w:b/>
        </w:rPr>
        <w:t>[Pages 1–3]</w:t>
      </w:r>
    </w:p>
    <w:p>
      <w:r>
        <w:t xml:space="preserve">4. Decision Division  </w:t>
        <w:br/>
        <w:t xml:space="preserve">B 4 – 44/13  </w:t>
        <w:br/>
        <w:t xml:space="preserve">MERGER CONTROL PROCEDURE  </w:t>
        <w:br/>
        <w:t xml:space="preserve">ORDER PURSUANT TO § 40 ABS. 2 GWB  </w:t>
        <w:br/>
        <w:t>– Public Version –</w:t>
      </w:r>
    </w:p>
    <w:p>
      <w:r>
        <w:t xml:space="preserve">Decision  </w:t>
        <w:br/>
        <w:t xml:space="preserve">In the administrative procedure  </w:t>
        <w:br/>
        <w:t xml:space="preserve">1. Ziemann Sicherheit Holding GmbH  </w:t>
        <w:br/>
        <w:t xml:space="preserve">Gewerbestr. 19-23  </w:t>
        <w:br/>
        <w:t xml:space="preserve">79227 Schallstadt  </w:t>
        <w:br/>
        <w:t xml:space="preserve">– Participant 1 –  </w:t>
        <w:br/>
        <w:t xml:space="preserve">Authorized representatives:  </w:t>
        <w:br/>
        <w:t xml:space="preserve">Attorneys  </w:t>
        <w:br/>
        <w:t xml:space="preserve">Milbank, Tweed; Hadley &amp; McCloy LLP  </w:t>
        <w:br/>
        <w:t xml:space="preserve">Dr. Alexander Rinne, Attorney  </w:t>
        <w:br/>
        <w:t xml:space="preserve">Maximilianstraße 15  </w:t>
        <w:br/>
        <w:t xml:space="preserve">80539 Munich  </w:t>
        <w:br/>
        <w:t>Fax No.: 089-25559-3700</w:t>
      </w:r>
    </w:p>
    <w:p>
      <w:r>
        <w:t xml:space="preserve">2. unicorn Geld- und Wertdienstleistungen GmbH  </w:t>
        <w:br/>
        <w:t xml:space="preserve">Lange Laube 7  </w:t>
        <w:br/>
        <w:t xml:space="preserve">30159 Hannover  </w:t>
        <w:br/>
        <w:t xml:space="preserve">– Participant 2 –  </w:t>
        <w:br/>
        <w:t xml:space="preserve">Authorized representatives:  </w:t>
        <w:br/>
        <w:t xml:space="preserve">Attorneys  </w:t>
        <w:br/>
        <w:t xml:space="preserve">Norton Rose  </w:t>
        <w:br/>
        <w:t xml:space="preserve">Dr. Michael Jürgen Werner, Attorney  </w:t>
        <w:br/>
        <w:t xml:space="preserve">Stephanstraße 15  </w:t>
        <w:br/>
        <w:t xml:space="preserve">60313 Frankfurt am Main  </w:t>
        <w:br/>
        <w:t>Fax No.: 069-69 505096 100</w:t>
      </w:r>
    </w:p>
    <w:p>
      <w:r>
        <w:t xml:space="preserve">3. Prosegur Compania de Seguridad SA  </w:t>
        <w:br/>
        <w:t xml:space="preserve">Spain  </w:t>
        <w:br/>
        <w:t xml:space="preserve">Calle Pajaritos 24  </w:t>
        <w:br/>
        <w:t xml:space="preserve">28007 Madrid  </w:t>
        <w:br/>
        <w:t xml:space="preserve">Spain  </w:t>
        <w:br/>
        <w:t>– Joined party 3 –</w:t>
      </w:r>
    </w:p>
    <w:p>
      <w:r>
        <w:t xml:space="preserve">Authorized representatives:  </w:t>
        <w:br/>
        <w:t xml:space="preserve">Attorneys  </w:t>
        <w:br/>
        <w:t xml:space="preserve">Clifford Chance  </w:t>
        <w:br/>
        <w:t xml:space="preserve">Marc Besen, Attorney  </w:t>
        <w:br/>
        <w:t xml:space="preserve">Königsallee 59  </w:t>
        <w:br/>
        <w:t xml:space="preserve">40215 Düsseldorf  </w:t>
        <w:br/>
        <w:t>Fax No.: 0211-4355 5600</w:t>
      </w:r>
    </w:p>
    <w:p>
      <w:r>
        <w:t xml:space="preserve">for the examination of a merger project pursuant to § 36 Abs. 1 of the Act against Restraints of Competition1 (GWB), the 4th Decision Division of the Federal Cartel Office has decided on July 18, 2013:  </w:t>
        <w:br/>
        <w:t xml:space="preserve">I. The project notified by letter dated May 10, 2013, by Ziemann Sicherheit Holding GmbH, Schallstadt, to acquire all shares in unicorn Geld- und Wertdienstleistungen GmbH, Hannover, is approved.  </w:t>
        <w:br/>
        <w:t xml:space="preserve">II. The fee for this decision is set at  </w:t>
        <w:br/>
        <w:t xml:space="preserve">[…] Euro  </w:t>
        <w:br/>
        <w:t xml:space="preserve">(in words: […] Euro)  </w:t>
        <w:br/>
        <w:t xml:space="preserve">and imposed on Participants 1 and 2 as joint debtors. The separately determined fee of […] Euro for the notification of the merger project will be credited.  </w:t>
        <w:br/>
        <w:t>1 Act against Restraints of Competition as published on June 26, 2013 (BGBl. I p. 1750).</w:t>
      </w:r>
    </w:p>
    <w:p>
      <w:r>
        <w:t xml:space="preserve">Reasons  </w:t>
        <w:br/>
        <w:t xml:space="preserve">I. The Project  </w:t>
        <w:br/>
        <w:t>(1) Ziemann Sicherheit Holding GmbH, Schallstadt (hereinafter: Ziemann) intends to acquire 100% of the shares in unicorn Geld- und Wertdienstleistungen GmbH, Hannover (hereinafter: Unicorn).</w:t>
      </w:r>
    </w:p>
    <w:p>
      <w:r>
        <w:t xml:space="preserve">II. The Participating Companies  </w:t>
        <w:br/>
        <w:t xml:space="preserve">A. The Merger Participants  </w:t>
        <w:br/>
        <w:t xml:space="preserve">1. Ziemann Sicherheit Holding GmbH  </w:t>
        <w:br/>
        <w:t xml:space="preserve">a. Activity and Structure of the Company  </w:t>
        <w:br/>
        <w:t xml:space="preserve">(2) Ziemann is the parent company of the Ziemann Group. The company directly holds 100% of the shares in Ziemann Sicherheit GmbH, Schallstadt, which in turn holds 100% of the shares in LGZ Lübecker Geldzentrale GmbH, Lübeck. In addition, Ziemann holds a majority stake of 60% in Ziemann Valor GmbH, Nürnberg.2  </w:t>
        <w:br/>
        <w:t xml:space="preserve">(3) Ziemann is a regionally active security company and operates exclusively in Germany. In the field of cash services, Ziemann offers cash transport and processing (banknotes and coins) as well as deposits at the Federal Bank through Ziemann Sicherheit GmbH. Ziemann takes on both cash disposal and cash supply. The company's customers predominantly come from the retail and banking sectors. The service portfolio also includes the filling and emptying of ATMs as well as the execution and securing of technical maintenance of ATMs. In the area of valuables logistics, the company offers the transport of precious metals and other valuables (e.g., documents). In addition, Ziemann offers further services in the area of security services. These include, for example, the operation of emergency call centers, reception and gate services, elevator rescue, alarm intervention, property and object protection, patrol and area services, as well as event services.3  </w:t>
        <w:br/>
        <w:t xml:space="preserve">2 The remaining shares are held by two natural persons with 25% and 15%, respectively.  </w:t>
        <w:br/>
        <w:t>3 Cf. Notification of May 10, 2013, p. 2f., pp. 4f. of the file.</w:t>
      </w:r>
    </w:p>
    <w:p>
      <w:r>
        <w:rPr>
          <w:b/>
        </w:rPr>
        <w:t>[Pages 4–6]</w:t>
      </w:r>
    </w:p>
    <w:p>
      <w:r>
        <w:t xml:space="preserve">4  </w:t>
        <w:br/>
        <w:t xml:space="preserve">(4) Ziemann operates 12 locations nationwide. These include 8 locations with a vehicle fleet and cash center for cash processing, as well as 4 pure driving bases. The locations are primarily situated in Baden-Württemberg (Mannheim, Karlsruhe, Stuttgart, Villingen, Schallstadt, Lörrach, and Ulm), in Bavaria (Nuremberg, Munich, and Rosenheim), and in Bexbach, Saarland. Additionally, the company maintains a location in Lübeck, Schleswig-Holstein, which Ziemann acquired by taking over the Lübecker Geldzentrale in 2012. Ziemann has a total of […] armored and […] unarmored vehicles and employs […] staff.  </w:t>
        <w:br/>
        <w:t xml:space="preserve">(5) Cash services are offered by Ziemann with its own infrastructure in parts of Northern and Southern Germany: From Lübeck, the federal states of Schleswig-Holstein, Hamburg, and parts of Mecklenburg-Vorpommern are served. In the south, the company provides its services in Bavaria, Baden-Württemberg, Hesse, Rhineland-Palatinate, and Saarland.  </w:t>
        <w:br/>
        <w:t xml:space="preserve">(6) Furthermore, Ziemann acts as a cooperation partner for two companies in the market that do not have their own operational infrastructure for service provision but enter into contracts with customers and commission various cash service providers for service delivery (hereinafter referred to as "brokers"). These are Soltrx Transaction Services GmbH, Düsseldorf (hereinafter referred to as STS), and Cash Logistik Security AG, Düsseldorf (hereinafter referred to as Cash Logistik). Ziemann is a shareholder of Cash Logistik and holds 10.76% of the outstanding shares. Furthermore, Ziemann collaborates with other service providers in the execution of regional contracts. Among the contractual partners for whom Ziemann provides subcontractor services is […], with which revenues of approximately […] € were generated in 2012. Ziemann is a member of the Federal Association of German Cash and Value Services e.V., Bad Homburg (hereinafter referred to as BDGW) and has one of the board members there.  </w:t>
        <w:br/>
        <w:t xml:space="preserve">4 Driving bases are used as starting points for trips to customer locations (stops). The operation of a cash center for processing the cash collected from customers is not associated with these locations.  </w:t>
        <w:br/>
        <w:t xml:space="preserve">5 See notification dated 10.05.2013, p. 3, p. 5 of the file, as well as Ziemann's response to question 7 of the information order dated 18.03.2013 in the merger procedure Prosegur/Brink's B4-18/13.  </w:t>
        <w:br/>
        <w:t xml:space="preserve">6 See B4-18/13, response from Cash Logistik AG dated 21.05.2013 regarding the company's shareholder structure; corresponding information from email from attorney Dr. Mühlbach, Milbank, Tweed, Hadley &amp; McCloy, dated 10.07.2013, p. 1113 of the file.  </w:t>
        <w:br/>
        <w:t xml:space="preserve">7 See Ziemann's response to question 12 of the information order dated 18.03.2013 in the merger procedure Prosegur/Brink's B4-18/13.  </w:t>
        <w:br/>
        <w:t>8 See email from attorney Dr. Mühlbach, Milbank, Tweed, Hadley &amp; McCloy, dated 09.07.2013, p. 1111 of the file.</w:t>
      </w:r>
    </w:p>
    <w:p>
      <w:r>
        <w:t xml:space="preserve">5  </w:t>
        <w:br/>
        <w:t xml:space="preserve">b. Revenues  </w:t>
        <w:br/>
        <w:t xml:space="preserve">(7) Since 2008, Ziemann has been part of the Hannover Finanz Group. This group holds a total of 80% of the shares in Ziemann through seven fund companies. In the past fiscal year, the Hannover Finanz Group achieved worldwide revenues of […] €, European revenues of […] million €, and German revenues of […] million €.  </w:t>
        <w:br/>
        <w:t xml:space="preserve">(8) In the field of cash services, Ziemann generated revenues of more than […] million € in the fiscal year 2012, achieving a revenue-related share of more than [10-15]% of all active companies in Germany. In the area of security services, Ziemann generated revenues of […] € in the past fiscal year.  </w:t>
        <w:br/>
        <w:t xml:space="preserve">2. Unicorn Cash and Value Services GmbH  </w:t>
        <w:br/>
        <w:t xml:space="preserve">a. Activity and Structure of the Company  </w:t>
        <w:br/>
        <w:t xml:space="preserve">(9) Unicorn is a company specialized in cash and value transport. Other security services are not part of the portfolio of offered services. Unicorn collects or delivers cash at customer locations. The company also offers services related to the operation of ATMs. In its cash centers, Unicorn conducts cash processing (counting banknotes and coins) and organizes the deposit of customer funds via the Bundesbank into a customer account. As part of coin recycling, the company operates coin dispensers on behalf of DZ Bank and supplies customers with change from the coin stocks stored with it. In the context of value logistics, valuable items are transported for customers. In this regard, Unicorn also offers document logistics as a partial service. Cash services and value logistics are provided by Unicorn in uniform business areas, with the same armored vehicles, a uniform workforce, and sometimes even within the same routes to different customers.  </w:t>
        <w:br/>
        <w:t xml:space="preserve">9 See B4-75/08; the Hannover Finanz Group does not hold any other interests in companies active in the field of cash services.  </w:t>
        <w:br/>
        <w:t xml:space="preserve">10 The nationwide revenue share serves only for size comparison of the service providers. The market for cash services is to be defined regionally.  </w:t>
        <w:br/>
        <w:t xml:space="preserve">11 See information in the notification dated 10.05.2013, p. 6, p. 8 of the file.  </w:t>
        <w:br/>
        <w:t xml:space="preserve">12 Unicorn refers in its response to the information order dated 18.03.2013 that the service referred to by the decision department in the information order as value transport is "commonly referred to in the industry as value logistics (WLOG)."  </w:t>
        <w:br/>
        <w:t>13 Collection and delivery of documents.</w:t>
      </w:r>
    </w:p>
    <w:p>
      <w:r>
        <w:t xml:space="preserve">6  </w:t>
        <w:br/>
        <w:t xml:space="preserve">(10) To provide services to customers, Unicorn operates 15 locations, some of which serve as driving bases, while the majority are operated as combined driving bases with cash centers for cash processing. From the individual locations, Unicorn provides its services within a limited radius around the respective location. Unicorn has a total of approximately […] armored vehicles and employs nearly […] staff.  </w:t>
        <w:br/>
        <w:t xml:space="preserve">(11) With the currently operated locations, Unicorn covers larger areas of Germany with its own infrastructure but is not active nationwide throughout the entire federal territory: Unicorn offers cash services in Western Germany and around its branches in Stuttgart and Berlin. In 2012, Unicorn exchanged various branches with Brink's, thereby adjusting its delivery area. Unicorn took over the Brink's branches in Stuttgart, Saarlouis, and Solingen and, in return, transferred its branches in Sietzsch (near Leipzig), Weimar, and Kassel to Brink's. Additionally, Unicorn also closed locations in southern Baden-Württemberg in 2012. In areas where Unicorn does not provide services itself but has contractually promised customers the provision of cash services, the company uses various competitors with appropriate regional coverage as subcontractors. Conversely, Unicorn also acts as a subcontractor for competitors when their business areas do not include individual customer locations. The subcontractor agreements may be ad-hoc contracts or framework agreements. There are cooperations with Brink's and other companies active in the market regarding the provision of cash services to customers. The activities performed for Brink's based on a framework agreement amounted to approximately […] million € in revenue for the year 2012. Unicorn also acts as a contractor for Cash Logistik. Furthermore, Unicorn is a member of the BDGW.  </w:t>
        <w:br/>
        <w:t xml:space="preserve">14 See Unicorn's response to question 7 of the information order dated 15.03.2013 in procedure B4-18/13 and information in the notification dated 10.05.2013, p. 6, p. 8 of the file.  </w:t>
        <w:br/>
        <w:t xml:space="preserve">15 B9-23/12.  </w:t>
        <w:br/>
        <w:t xml:space="preserve">16 See Unicorn's responses to question 11 of the information order dated 18.03.2013 in procedure B4-18/13.  </w:t>
        <w:br/>
        <w:t>17 Written statement from attorney Dr. Karenfort, Salans (now Dentons), dated 04.03.2013, response to question 11 b, p. 9, annex 8 (Annex 8 Cartel Office_Question 11b_Brinks.v3.130227_(Cooperation partner for Brink's).XLSX), p. 227 of the file B4-18/13.</w:t>
      </w:r>
    </w:p>
    <w:p>
      <w:r>
        <w:rPr>
          <w:b/>
        </w:rPr>
        <w:t>[Pages 7–9]</w:t>
      </w:r>
    </w:p>
    <w:p>
      <w:r>
        <w:t xml:space="preserve">7  </w:t>
        <w:br/>
        <w:t xml:space="preserve">b. Revenues  </w:t>
        <w:br/>
        <w:t xml:space="preserve">(12) Unicorn achieved revenues of […] million € in the last fiscal year. Based on the revenues generated, the company is among the five largest providers in Germany, alongside Ziemann and KÖTTER Geld- &amp; Wertdienste GmbH &amp; Co. KG (hereinafter: Kötter) as well as the intervenor Prosegur Compania de Seguridad SA (hereinafter Prosegur SA), which operates in Germany through its 100% subsidiary Prosegur GmbH (hereinafter: Prosegur), and Brink's. Unicorn achieved a revenue share of over [10-15]% in the fiscal year 2012 when viewed nationwide in Germany.  </w:t>
        <w:br/>
        <w:t xml:space="preserve">B. The Intervenor Prosegur  </w:t>
        <w:br/>
        <w:t xml:space="preserve">1. Activity and Structure of the Company  </w:t>
        <w:br/>
        <w:t xml:space="preserve">(13) Prosegur SA is a publicly traded stock corporation based in Madrid, Spain. It is an internationally operating security service company that is active worldwide through various subsidiaries and claims to be the third-largest security company in the world. Apart from Germany, Prosegur SA operates in Europe in Spain, France, Portugal, and Luxembourg. According to its own statements, Prosegur is the "market leader" in security services in most countries where the group operates. The services offered by Prosegur SA include guarding (e.g., airport security, large events, geolocation and GPS tracking, goods transport protection, and the operation of mobile control centers), cash services, as well as planning, installation, and maintenance of integrated security and fire protection concepts.  </w:t>
        <w:br/>
        <w:t xml:space="preserve">(14) Prosegur SA has been active in Germany since acquiring SecurLog GmbH with its wholly-owned subsidiary Prosegur GmbH, Düsseldorf. The services offered in Germany include cash and valuables transport, cash processing, ATM services (hereinafter also: self-service services), courier services, and security technology.  </w:t>
        <w:br/>
        <w:t xml:space="preserve">(15) The service spectrum of Prosegur encompasses the entire range of cash services. This includes both cash transport and cash processing. The offering is aimed at customers from the retail and banking sectors. Prosegur also offers the maintenance of ATMs (also cash dispensing machines (GAA)) on behalf of payment institutions. When viewed nationwide, Prosegur's share of the total revenue in the cash services sector in Germany would be [25 - 30%].  </w:t>
        <w:br/>
        <w:t xml:space="preserve">(16) Prosegur claims to be the market leader in cash and valuables transport in Germany and has 29 branches evenly distributed across the country. Prosegur operates nearly 800 armored vehicles. The company employs 3,200 staff and generated revenues of €151 million in Germany last year. Through its network of nationwide branches, which are typically associated with the operation of a cash center for cash processing, Prosegur is the only provider of cash and valuables services in Germany that can offer these services nationwide without relying on cooperation partners, does not use subcontractors to carry out its own orders, and does not act as a subcontractor for competitors.  </w:t>
        <w:br/>
        <w:t xml:space="preserve">(17) Prosegur is a member of the BDGW and has a deputy chairman there.  </w:t>
        <w:br/>
        <w:t xml:space="preserve">(18) Prosegur SA intends to acquire Brink's Deutschland GmbH and Brink's Transport &amp; Service GmbH (hereinafter collectively referred to as Brink's) and has notified the Federal Cartel Office of the project (B4-18/13). This procedure is being concluded simultaneously with a conditional clearance. Brink's currently offers the full range of cash services in various regional markets with nine branches. The company operates various cash centers for cash processing.  </w:t>
        <w:br/>
        <w:t xml:space="preserve">(19) In the fiscal year 2011, Prosegur SA achieved worldwide revenues of €2.81 billion. In the fiscal year 2012, Prosegur SA increased its total revenue by more than 30% to over €3.6 billion. The group's net income was €172 million, 2.7% above the previous year's value.  </w:t>
        <w:br/>
        <w:t xml:space="preserve">III. Procedural Course  </w:t>
        <w:br/>
        <w:t xml:space="preserve">A. Notification and Deadline  </w:t>
        <w:br/>
        <w:t xml:space="preserve">(20) By letter dated May 10, 2013, received by fax on the same day, the parties notified the Federal Cartel Office of the proposed merger. The letter, along with attachments, was received by mail on May 13, 2013. By letter dated May 14, 2013, received by fax on the same day, the revenue figures for the fiscal year 2012 of the Hannover-Finanz Group were corrected, which is why the deadline for the examination of the merger proposal began anew at this point.  </w:t>
        <w:br/>
        <w:t xml:space="preserve">(21) By letter dated June 6, 2013, the representatives of the merger parties were informed by the Federal Cartel Office in accordance with § 40 Abs. 1 GWB about the entry into the main examination procedure (monthly letter). The representatives of the parties confirmed receipt of the notification with acknowledgment of receipt, both received by fax on June 6, 2013.  </w:t>
        <w:br/>
        <w:t xml:space="preserve">B. Intervention  </w:t>
        <w:br/>
        <w:t xml:space="preserve">(22) By letter dated May 14, 2013, Prosegur SA requested to be joined to the proceedings. The merger parties were given the opportunity to comment on this by letter dated May 16, 2013, with a deadline until May 21, 2013. In separate letters dated May 21, 2013, the representatives of the merger parties stated that they did not wish to submit comments. On May 29, 2013, the Federal Cartel Office joined Prosegur SA to the proceedings.  </w:t>
        <w:br/>
        <w:t>(23) The merger parties are both intervenors in the merger proceedings Prosegur/Brink's (B4-18/13). They are therefore aware of the draft decision of the Federal Cartel Office and had the opportunity to comment on it.</w:t>
      </w:r>
    </w:p>
    <w:p>
      <w:r>
        <w:rPr>
          <w:b/>
        </w:rPr>
        <w:t>[Pages 10–12]</w:t>
      </w:r>
    </w:p>
    <w:p>
      <w:r>
        <w:t xml:space="preserve">10  </w:t>
        <w:br/>
        <w:t xml:space="preserve">C. Right to be Heard  </w:t>
        <w:br/>
        <w:t>(23) The parties to the merger were provided with the draft of the clearance decision on July 11, 2013. In a letter dated July 12, 2013, the parties stated that they did not wish to make any comments. The draft of the clearance letter was sent to the interveners on July 16, 2013. The interveners also stated in a letter dated July 16, 2013, that they had no comments on the clearance letter.</w:t>
      </w:r>
    </w:p>
    <w:p>
      <w:r>
        <w:t xml:space="preserve">D. Investigations  </w:t>
        <w:br/>
        <w:t>(24) The Federal Cartel Office can primarily rely on the findings from the merger procedure Prosegur/Brink's (B4-18/13) when assessing the relevant factual and geographical markets affected by the merger proposal. In the context of the market investigations for the Prosegur/Brink's procedure, the competitive conditions in the factual market for cash services were comprehensively investigated nationwide. In that procedure, the Federal Cartel Office repeatedly requested information from the parties involved, their competitors, and customers regarding their economic conditions and the submission of documents, particularly concerning branch and postal code-related revenues (§ 59 Abs. 1 GWB). Since both merger proposals concern the same relevant factual market, the results are also relevant for this procedure.</w:t>
      </w:r>
    </w:p>
    <w:p>
      <w:r>
        <w:t xml:space="preserve">1. Parties Involved  </w:t>
        <w:br/>
        <w:t xml:space="preserve">(25) In the merger procedure B4-18/13, the Federal Cartel Office held a meeting with Unicorn on April 17, 2013. The provider and demand structure in the regional markets for cash services was discussed in particular.  </w:t>
        <w:br/>
        <w:t>(26) The parties to the merger were questioned during the investigations regarding the revenues of their branches based on 5-digit postal codes.</w:t>
      </w:r>
    </w:p>
    <w:p>
      <w:r>
        <w:t xml:space="preserve">2. Competitors  </w:t>
        <w:br/>
        <w:t>(27) By information resolution (based on § 59 GWB) dated March 18, 2013, the Federal Cartel Office questioned all cash and valuables service providers that are members of the BDGW, as well as all other competitors named by the merger parties in this procedure who are active in the area of cash services or valuables transportation. The questions were particularly aimed at defining the relevant market and determining the relevant geographical markets. Furthermore, the questions aimed to ascertain market volumes and market shares. The information on the revenues of the surveyed companies is partially relevant for this procedure (especially for the markets Saarlouis (Saarland), Frankfurt a.M., Stuttgart, and Lüneburg (Hamburg)).</w:t>
      </w:r>
    </w:p>
    <w:p>
      <w:r>
        <w:t xml:space="preserve">3. Brokers  </w:t>
        <w:br/>
        <w:t>(28) By email dated April 15, 2013, the Federal Cartel Office questioned providers of cash services in the merger procedure B4-18/13 who do not provide these services themselves but outsource them to cooperation partners. This served to determine the business model of the companies and their function as well as their significance for the market for cash services.</w:t>
      </w:r>
    </w:p>
    <w:p>
      <w:r>
        <w:t xml:space="preserve">4. Demanders  </w:t>
        <w:br/>
        <w:t>(29) By information resolution dated May 28, 2013, the Federal Cartel Office questioned financial institutions and trading companies in the merger procedure B4-18/13. The questions aimed to determine the demand behavior of significant demanders (regional or supra-regional), particularly whether they consider strategic considerations regarding the maintenance of a specific provider structure when deciding on the awarding of contracts.</w:t>
      </w:r>
    </w:p>
    <w:p>
      <w:r>
        <w:t xml:space="preserve">IV. Formal Conditions for Prohibition  </w:t>
        <w:br/>
        <w:t xml:space="preserve">A. Scope of Application of the GWB  </w:t>
        <w:br/>
        <w:t>(30) The proposal has effects in Germany, as both companies operate in Germany and generate revenues here (§ 130 Abs. 2 GWB). Due to the level of revenue, merger control applies. The revenues of the participating companies exceeded €500 million worldwide in the past fiscal year (§ 35 Abs. 1 Nr. 1 GWB). Ziemann and Unicorn each generated more than €25 million in domestic revenues, thus also exceeding the revenue thresholds of § 35 Abs. 1 Nr. 2 GWB.</w:t>
      </w:r>
    </w:p>
    <w:p>
      <w:r>
        <w:t>(31) The European Commission is not responsible for the merger control examination of the merger (§ 35 Abs. 3 GWB). The thresholds of Regulation (EC) No. 139/2004 of the Council on the control of concentrations between undertakings (Merger Regulation) are not exceeded.</w:t>
      </w:r>
    </w:p>
    <w:p>
      <w:r>
        <w:t xml:space="preserve">B. Merger Statute  </w:t>
        <w:br/>
        <w:t>(32) The acquisition of 100% of the shares in Unicorn by Ziemann fulfills the merger statutes of § 37 Abs. 1 Nr. 2 (acquisition of control) and of Nr. 3 lit. a) GWB (acquisition of shares over 50%).</w:t>
      </w:r>
    </w:p>
    <w:p>
      <w:r>
        <w:t xml:space="preserve">V. Substantive Conditions for Prohibition  </w:t>
        <w:br/>
        <w:t xml:space="preserve">(33) The merger proposal does not meet the requirements of § 36 Abs. 1 Satz 1 GWB.  </w:t>
        <w:br/>
        <w:t>(34) According to § 36 Abs. 1 Satz 1 GWB, a merger that would significantly impede effective competition is to be prohibited. This does not apply if the parties can demonstrate according to § 36 Abs. 1 Satz 2 Nr. 1 GWB that the merger also leads to improvements in competitive conditions and that these improvements outweigh the impediment to competition, or if a minor market in the sense of § 36 Abs. 1 Satz 2 Nr. 2 GWB is affected.</w:t>
      </w:r>
    </w:p>
    <w:p>
      <w:r>
        <w:t xml:space="preserve">A. Framework Conditions of Competition in the Area of Cash and Valuables Transport Services  </w:t>
        <w:br/>
        <w:t xml:space="preserve">1. Service  </w:t>
        <w:br/>
        <w:t>(35) Cash service providers offer services in the cash cycle. On the one hand, they take over the cash supply of banks and ATMs as well as the supply of retailers with change. The funds are collected from the Bundesbank on behalf of the customer, packaged, and delivered. On the other hand, cash service providers take over the disposal of cash that arises, for example, in retail. A distinction must be made between coin and banknote cash. Banknotes are sorted and checked for authenticity and damage. Subsequently, these must be packaged according to the customer's specifications for the respective stops and prepared for transport. This also includes filling the cassettes for ATMs.</w:t>
      </w:r>
    </w:p>
    <w:p>
      <w:r>
        <w:rPr>
          <w:b/>
        </w:rPr>
        <w:t>[Pages 13–15]</w:t>
      </w:r>
    </w:p>
    <w:p>
      <w:r>
        <w:t xml:space="preserve">13  </w:t>
        <w:br/>
        <w:t xml:space="preserve">Cash handling service providers must be brought to a customer account at a Bundesbank branch for deposit. For coin money, in addition to deposits in the form of standardized batch sizes (standard containers) at the Bundesbank, there is the possibility to reintroduce it into circulation (coin recycling). The Payment Services Supervision Act (ZAG) regulates that cash recycling may only be carried out with a license from the Federal Financial Supervisory Authority (BaFin). Currently, no cash service provider possesses such a license. However, cash service providers can conduct cash recycling in cooperation with a bank. Banks maintain so-called coin safes with cash service providers, in which the banks' coin stocks are stored. Here, returned coin money can be deposited, which can, for example, be reintroduced into circulation as change. The coins can thus be credited to the customer account and reintroduced into cash circulation without having been deposited at the Bundesbank.  </w:t>
        <w:br/>
        <w:t xml:space="preserve">Cash Cycle Alternative Cycle with Cash Recycling  </w:t>
        <w:br/>
        <w:t xml:space="preserve">Bundesbank Coin Safe at  </w:t>
        <w:br/>
        <w:t xml:space="preserve">Cash Service Provider  </w:t>
        <w:br/>
        <w:t xml:space="preserve">Trade Bank Trade Bank/Trade  </w:t>
        <w:br/>
        <w:t xml:space="preserve">Customer Customer  </w:t>
        <w:br/>
        <w:t>Figure 1 - Cash Cycle</w:t>
      </w:r>
    </w:p>
    <w:p>
      <w:r>
        <w:t>(36) An essential factor for efficient service provision is a minimum turnover in a specific area per location. This minimum turnover is calculated by the providers, for example, based on the respective stop density - stops per hour during tours for the provision of cash services. Therefore, a customer network of a certain size and configuration is required for a successful market presence. This typically includes one or more so-called anchor customers who request services for multiple stops in an area and form the basis for an economical tour execution. These can be banks or retail companies with a sufficient number of branches in a region. The stop density for tours for anchor customers can be increased by additional stops with smaller demanders who have a lower number of stops. If a cash service provider has only one or two anchor customers, it may become unprofitable for them to remain active in certain areas. Examples of this are ITT and Arndt Sicherheit und Service. After the insolvency of the drugstore operator Anton Schlecker in spring 2012, ITT completely withdrew from Berlin. Arndt Sicherheit und Service also faced financial difficulties due to insolvency, leading the company to withdraw from the cash services sector.</w:t>
      </w:r>
    </w:p>
    <w:p>
      <w:r>
        <w:t>(37) There are also indications that so-called island solutions, where various branches represent a non-contiguous area, cannot be maintained successfully by providers in the long term. This was one of the reasons for the branch exchange between Brink’s and Unicorn (B9-23/12).</w:t>
      </w:r>
    </w:p>
    <w:p>
      <w:r>
        <w:t>2. Providers</w:t>
      </w:r>
    </w:p>
    <w:p>
      <w:r>
        <w:t>(38) Unlike in most neighboring countries, the provider structure of cash service providers in Germany is heterogeneous. Currently, there are local, regional, supra-regional, and a single nationwide provider (Prosegur) in the market. Supra-regional providers include the merger participants as well as Kötter and Brink’s. These companies cover larger regions - but not the entire federal territory. In addition, there are regional medium-sized providers such as ITT, WSN, Götz, WSD, or SVG AG, which focus their activities on a region. Additionally, there are various local providers that typically offer cash services from a single location. In total, there are about 60 cash service providers operating in Germany, the majority of which are regional or local providers.</w:t>
      </w:r>
    </w:p>
    <w:p>
      <w:r>
        <w:t>(39) Cross-border providers are currently only active in the German market to a negligible extent. The only service provider from Austria known during the investigations (Geldservice Austria, GSA), which provided services in southern Germany from the locations of Salzburg and Bregenz, has ceased its activities due to existing European legal framework conditions.</w:t>
      </w:r>
    </w:p>
    <w:p>
      <w:r>
        <w:t>(40) Regional and local providers sometimes engage other cash service providers in the form of subcontracting agreements to serve customers whose demand exceeds their own area of activity.</w:t>
      </w:r>
    </w:p>
    <w:p>
      <w:r>
        <w:t>(41) Most providers in the market are companies organized in the BDGW. A few companies not organized in the BDGW are also active in the market, but only to a very limited extent. Membership in the BDGW is regularly made a condition for commissioning by demanders, as it conducts audit services in the form of BDGW security standards at member companies.</w:t>
      </w:r>
    </w:p>
    <w:p>
      <w:r>
        <w:t>3. Brokers</w:t>
      </w:r>
    </w:p>
    <w:p>
      <w:r>
        <w:t>(42) In addition to the providers of cash services active in the market, various companies are also engaged in selling cash services to customers without having their own infrastructure for providing the service to the customer. This includes, for example, STS, a subsidiary of Commerzbank AG, Cashy-Service GmbH, a company of the East German Savings Banks and Giro Association, which offers its services to the affiliated savings banks, as well as Cash Logistik, a joint venture of cash service providers, in which Ziemann is also involved.</w:t>
      </w:r>
    </w:p>
    <w:p>
      <w:r>
        <w:t>(43) The first two mentioned companies enter into contracts with customers regarding the services to be provided and commission market-active cash service providers to deliver the service. Cash Logistik also enters into service contracts with customers, whereby in these cases a large part of the service provision is carried out by shareholders of the company. If necessary, Cash Logistik also commissions other providers to deliver cash services to their customers.</w:t>
      </w:r>
    </w:p>
    <w:p>
      <w:r>
        <w:t>The EU Regulation VO 1214/2012 prescribes, according to the respective service provider, security standards for the vehicles used, which are not required for service provision in Austria, which is why there are no vehicles of corresponding size and armor in Austria.</w:t>
      </w:r>
    </w:p>
    <w:p>
      <w:r>
        <w:rPr>
          <w:b/>
        </w:rPr>
        <w:t>[Pages 16–18]</w:t>
      </w:r>
    </w:p>
    <w:p>
      <w:r>
        <w:t xml:space="preserve">16  </w:t>
        <w:br/>
        <w:t>(44) The future position of Cash Logistik will also depend on whether Ziemann will continue to be willing to provide services for Cash Logistik after expanding its own network.</w:t>
      </w:r>
    </w:p>
    <w:p>
      <w:r>
        <w:t xml:space="preserve">4. Demanders  </w:t>
        <w:br/>
        <w:t xml:space="preserve">(45) Demanders of cash services are companies that generate cash in such a volume during their business operations that a deposit by their own personnel is not feasible. Demanders can include, for example, retail companies, hotels and restaurants, vending machine operators (e.g., tobacco, beverage, parking, and ticket machines), or banks that withdraw and deposit cash reserves with the Federal Bank to supply their branches with sufficient cash. The services for banks are generally more expensive than the services for retail companies. For none of the surveyed companies does the demand for cash services constitute their core business (cf. para. 50).  </w:t>
        <w:br/>
        <w:t xml:space="preserve">(46) The customers request services for regions of varying sizes and with different numbers of stops. There are nationwide demanders, regional demanders with multiple stops, and small demanders who may only request a single stop.  </w:t>
        <w:br/>
        <w:t xml:space="preserve">(47) The behavior of the demanders is still influenced by the fraud scandals of the companies Heros and Arnolds in 2006, which embezzled customer funds to a significant extent. This led to bankruptcy and, particularly in the case of Heros, substantial losses for customers, which in turn resulted in a strong insecurity among the demanders. This insecurity towards cash service providers is still widespread in the market.  </w:t>
        <w:br/>
        <w:t xml:space="preserve">(48) Although providers of cash services in the market hold the view that price increases have been difficult to implement since then, demanders state that price adjustments are repeatedly accepted. However, the investigations have also revealed indications that the intervenor, which has only been active in Germany since 2012, is currently pursuing an expansion strategy and is using its financial strength for this purpose. This may also have contributed to the price level being perceived as low compared to other European countries, according to the assessments of both providers and demanders of cash services.  </w:t>
        <w:br/>
        <w:t xml:space="preserve">(49) Larger companies operating nationwide organize the distribution of orders centrally to ensure compliance with uniform performance requirements and risk assessment standards. However, very few companies award cash services centrally to a single provider. The non-central awarding to a single provider occurs partly due to the regionally different provider structure. On the other hand, regional order allocation is carried out with risk considerations in mind, to spread the risk associated with the service providers used and to avoid that problems with one provider lead to significant losses or supply issues.  </w:t>
        <w:br/>
        <w:t>(50) Furthermore, the demanders differ in terms of their security requirements and price sensitivity. Since the costs of cash service providers do not affect the core business of the demanders and only constitute a small cost block for these companies, they are partly less price-sensitive than they are in their core business. Demanders from the retail sector are generally more price-sensitive and more willing to switch providers than demanders from the banking sector. The latter regularly place even greater emphasis on aspects of security and creditworthiness as well as on trustworthy cooperation. For all demanders, security is much more in focus in their demand profile than is the case with the demand for goods or services in their core business. This way, they attempt to minimize the risk of fraud and protect themselves against service failures in the event of a provider's bankruptcy. On the other hand, the associated effort for the demanders should be minimized as much as possible, since this is not about their core business. This is reflected in the fact that demanders do not regularly conduct formalized tenders. Instead, many demanders check the regional price level through informal inquiries with competitors at more or less regular intervals without actually switching providers. Contractual relationships are therefore de facto regularly of significant duration.</w:t>
      </w:r>
    </w:p>
    <w:p>
      <w:r>
        <w:t xml:space="preserve">B. Relevant Market Definition  </w:t>
        <w:br/>
        <w:t xml:space="preserve">(51) The relevant market in which the parties operate is the market for cash services (hereinafter also referred to as: Cash Services). This includes both the transport of coins and banknotes to and from the customer (CIT: Cash in Transit), the processing of cash in a cash center, as well as the filling and maintenance of ATMs requested by credit institutions and financial institutions, including the execution and monitoring of fault management.  </w:t>
        <w:br/>
        <w:t xml:space="preserve">(52) Not included in the relevant market are value transports or value logistics provided in the route business, as well as other security and guarding services.  </w:t>
        <w:br/>
        <w:t xml:space="preserve">1. Approach to defining a distinct market for cash services including the filling and maintenance of ATMs  </w:t>
        <w:br/>
        <w:t xml:space="preserve">(53) In the question of relevant market definition, the Federal Cartel Office has taken into account the presentation of the companies involved in the merger, the results of the survey of competitors and demanders named by the parties, as well as the previous decision-making practice of the Federal Cartel Office and the European Commission.  </w:t>
        <w:br/>
        <w:t xml:space="preserve">2. Presentation of the merger parties regarding the relevant market definition  </w:t>
        <w:br/>
        <w:t>(54) The merger parties have left the exact market definition open in their notification. From the perspective of the parties, there are predominant arguments for a unified market for cash services encompassing the areas of transport, cash processing, and ATM services. According to the assessment of the merger parties, approximately 90% of market participants in Germany provide services in all segments of cash services. For providers, switching between ATM services and transport services is said to be easily possible. Transport services and ATM services are provided by the same service providers on the same routes and with the same vehicles. Likewise, cash processing and transport services are provided by the same providers and are not offered separately. For a further delineated market that includes security services, it is argued that...</w:t>
      </w:r>
    </w:p>
    <w:p>
      <w:r>
        <w:rPr>
          <w:b/>
        </w:rPr>
        <w:t>[Pages 19–21]</w:t>
      </w:r>
    </w:p>
    <w:p>
      <w:r>
        <w:t xml:space="preserve">19  </w:t>
        <w:br/>
        <w:t xml:space="preserve">that numerous providers offer both cash and valuables services as well as security and guarding services.  </w:t>
        <w:br/>
        <w:t xml:space="preserve">(55) In its response to the information request dated March 18, 2013, in the proceedings B4-18/13, Unicorn stated that cash transports generally occur on fixed routes, while valuables transports are made at the customer's request. Furthermore, there is no processing of the valuables. A significant difference between cash and valuables transports is that cash transports are always made from a single location, whereas valuables transports are generally regional, which requires a connection between the locations.  </w:t>
        <w:br/>
        <w:t xml:space="preserve">3. Presentation of the Third Party  </w:t>
        <w:br/>
        <w:t xml:space="preserve">(56) The third party, in the context of the merger proceedings B4-18/13 (Prosegur/Brink’s), referred in its notification dated February 1, 2013, to a unified market for security services, to which the market segment for cash services should be attributed. It justifies this by stating that at least the larger providers in the market offer a variety of security services that are also interconnected to some extent. Additionally, large customers such as banks and retail chains demand a variety of such services.  </w:t>
        <w:br/>
        <w:t xml:space="preserve">(57) In the relationship between cash services and valuables transports, which at least in the context of the transport process occur in part on the same routes as those on which cash services are provided, the third party assumes significant differences in the provision of these services. It states that the services are generally demanded separately. It further explains that even among customers who utilize both services, the demand comes from separate organizational units. Also regarding the provider structure, the third party points out that cash service providers generally only conduct valuables transports as a so-called "take-along business," while companies like DHL, UPS, DPD, and FedEx, which provide parcel services, also routinely conduct valuables transports in this context. According to the third party's presentation, there are specialized providers for valuables transports that do not offer cash services.  </w:t>
        <w:br/>
        <w:t xml:space="preserve">(58) Prosegur states that the vast majority of its business in the area of valuables transports is provided for customers with a regular shipment volume and that it essentially corresponds to a service similar to that of a parcel service provider. However, Prosegur only accepts orders from commercial customers with whom a framework agreement or a single transport contract has been concluded in advance, in which liability and insurance issues are clarified. The deliveries can be directed to both commercial and private recipients. Prosegur does not carry out orders from private individuals.  </w:t>
        <w:br/>
        <w:t xml:space="preserve">4. Previous Decision-Making Practice of the Federal Cartel Office and the European Commission  </w:t>
        <w:br/>
        <w:t xml:space="preserve">(59) In the previous merger control decisions of the Federal Cartel Office and the European Commission, the question of the relevant market definition has not been conclusively decided.  </w:t>
        <w:br/>
        <w:t xml:space="preserve">a. Decision-Making Practice of the European Commission  </w:t>
        <w:br/>
        <w:t xml:space="preserve">(60) In 2004, in the context of the merger proposal Group 4 Falck/Securicor (Comp/M. 3396), the European Commission defined a market for Cash In Transit (CIT) in its market definition. The Commission based its decision on the fact that cash services can include the transport of cash (CIT), cash processing (Cash Management), as well as valuables transports. In the context of the market definition, the Commission did not include other services, such as cash processing (Cash Management) or valuables transports, as there were no overlaps in the activities of the parties involved in the merger in these areas. In connection with CIT services, the Commission also included services provided in the context of the filling and maintenance of ATMs, although these services are provided by companies whose employees require special skills that include the maintenance and troubleshooting of the devices. The Commission stated in its decision that not all companies active in the market offer both services and thus do not qualify as providers for all customers in the same way. In particular, the European Commission noted the lack of flexibility of providers regarding ATM services and addressed the selection decision of customers for a specific provider. However, since the overlaps in the areas of activity of the parties included both services for filling and maintaining ATMs as well as traditional CIT services, the Commission attributed both services to one market.  </w:t>
        <w:br/>
        <w:t xml:space="preserve">b. Decision-Making Practice of the Federal Cartel Office  </w:t>
        <w:br/>
        <w:t xml:space="preserve">(61) In its previous decision-making practice, the Federal Cartel Office defined a market for cash services, including both cash transport and cash processing as well as services related to the operation of ATMs (filling and maintenance) in the relevant market. The previous delineation of independent relevant markets concerning the partial services was based on the fact that these services are generally not demanded separately by customers in the market and are regularly provided together by companies in the market. The Federal Cartel Office has previously distinguished the market for cash services from services in the area of security and guarding services, even though these are often offered together with cash services by companies. The decisive factor was the fact that these services are not considered interchangeable from the demand perspective and are not necessarily demanded together.  </w:t>
        <w:br/>
        <w:t xml:space="preserve">5. Result of the Investigations  </w:t>
        <w:br/>
        <w:t xml:space="preserve">a. Transport and Processing of Cash Forms the Relevant Market for Cash Services  </w:t>
        <w:br/>
        <w:t>(62) The surveyed competitors confirm that cash services consist of the transport of cash between cash centers and the customer's location, and the service includes the processing of cash (coins and banknotes) as well as the deposit at the Deutsche Bundesbank.</w:t>
      </w:r>
    </w:p>
    <w:p>
      <w:r>
        <w:rPr>
          <w:b/>
        </w:rPr>
        <w:t>[Pages 22–24]</w:t>
      </w:r>
    </w:p>
    <w:p>
      <w:r>
        <w:t xml:space="preserve">22  </w:t>
        <w:br/>
        <w:t xml:space="preserve">The investigations have further revealed that, as a rule, the simple technical maintenance of ATMs is also part of the competitors' portfolio. However, the responses from the surveyed companies also show that there are specialized providers who exclusively or predominantly provide only individual partial services in the field of cash services. For example, service providers such as Siba security service GmbH, Berlin, and Securicoin GmbH, Munich, primarily provide cash services in the area of coin processing. Both, for instance, do not provide ATM services, and Siba provides services related to banknotes only to a limited extent. Other companies indicated that they only offer cash transportation and utilize cash centers of competitors for cash processing (Protect &amp; Secure GmbH). Since these specialized providers are not dominant in the market, the Federal Cartel Office assumes a uniform market for cash services.  </w:t>
        <w:br/>
        <w:t xml:space="preserve">b. No distinction based on the type of demanders (retail/banks)  </w:t>
        <w:br/>
        <w:t xml:space="preserve">(63) The survey of competitors confirms that cash services provided by suppliers cannot be distinguished by customer groups, and in particular, a differentiation between retail, banks, and other demanders in terms of independent relevant markets is not appropriate. The surveyed providers of cash services regularly provide services to customers from various industries. While many of the surveyed competitors presented the different pricing structures in comparison between banks and retail companies, they also emphasize the necessity of a balanced relationship between the two customer groups (Unicorn), with bank customers seen as the basis for planning profitable routes, which include the price-sensitive retail customers.  </w:t>
        <w:br/>
        <w:t xml:space="preserve">c. Independent market for value transportation  </w:t>
        <w:br/>
        <w:t xml:space="preserve">(64) The investigations have shown that cash services and value transportation belong to different relevant markets. Differences arise from the fact that the latter involves the pure transport of a valuable item without any processing, as is standard with cash services. To the extent that companies provide value transportation in the sense of transporting valuable items, some of them indicate that they provide this service for clients who also utilize cash services (e.g., HEROS Geld- und Werttransport GmbH). However, they confirm the perspective of the parties involved that this service is often provided by cash service providers as a mere ancillary business and not as a separate service. Unlike cash services, the interregional transport of valuable items is demanded as a point-to-point connection. Therefore, providers must establish a more complex network compared to cash services. Value transportation is more comparable to the services of a parcel service than to cash services. They are provided regionally within an established logistics network. Providers in this area are therefore particularly parcel companies that have a corresponding network, or Prosegur with its comprehensive branch network. Demanders are not only banks and retail companies but also watch and jewelry stores.  </w:t>
        <w:br/>
        <w:t xml:space="preserve">d. Independent market for security services  </w:t>
        <w:br/>
        <w:t xml:space="preserve">(65) Security services and guarding services are not attributable to the market for cash services. On the one hand, from the perspective of the providers, there is no direct supply substitution between cash services and security services, as these are carried out with different personnel and different vehicles. On the other hand, from the demand perspective, there is no substitution relationship between the services. These are demanded by different companies, at least by different business units. Even though numerous companies offer both cash services and security services, the security services in these companies are at least organizationally separated from the cash services. There are many specialized providers that offer only security or guarding services or security services in combination with other services such as building cleaning.  </w:t>
        <w:br/>
        <w:t xml:space="preserve">C. Geographical market definition  </w:t>
        <w:br/>
        <w:t xml:space="preserve">(66) The markets for cash services are to be defined regionally. This results particularly from the investigations into the procurement behavior of the demanders. This demand behavior is primarily characterized by the different geographical distribution of providers of cash services. As a result of the investigations, the Federal Cartel Office currently assumes separate geographical markets in Stuttgart, Frankfurt, Saarlouis (Saarland), and Lüneburg (Hamburg) and has examined the competitive conditions in these market areas in detail, as necessary.  </w:t>
        <w:br/>
        <w:t xml:space="preserve">1. The concept of geographical market definition  </w:t>
        <w:br/>
        <w:t xml:space="preserve">(67) To determine the competitive forces to which the companies involved in the merger are exposed, the market must be defined not only in terms of product but also geographically. The geographical market definition is a construct to answer the question of whether the company is without competitors after the merger or is not exposed to significant competition or has a dominant market position in relation to its competitors.  </w:t>
        <w:br/>
        <w:t>(68) Just as for the product market definition, the demand market concept also applies here. Accordingly, for merger control, the demand market is geographically relevant, which is affected by the merger proposal. It includes those demanders who</w:t>
      </w:r>
    </w:p>
    <w:p>
      <w:r>
        <w:rPr>
          <w:b/>
        </w:rPr>
        <w:t>[Pages 25–27]</w:t>
      </w:r>
    </w:p>
    <w:p>
      <w:r>
        <w:t xml:space="preserve">25  </w:t>
        <w:br/>
        <w:t>according to the actual circumstances of the specific case, can be considered as purchasers for the offer of the merging parties and can restrict the competitive options of the companies involved in the merger. The spatial market delineates the group of purchasers that is relevant for the assessment of the merger and constitutes the area in which the participating companies offer their services.</w:t>
      </w:r>
    </w:p>
    <w:p>
      <w:r>
        <w:t>(69) In this context, only the actual sourcing alternatives of the purchasers are to be considered. Sourcing alternatives that are not or hardly utilized by the purchasers remain disregarded in this respect.</w:t>
      </w:r>
    </w:p>
    <w:p>
      <w:r>
        <w:t>(70) The spatial market is intended to form an area in which the competitive conditions are sufficiently homogeneous and which differs from neighboring areas by noticeably different competitive conditions. For this purpose, market entry barriers and significant differences in market shares are among the considerations.</w:t>
      </w:r>
    </w:p>
    <w:p>
      <w:r>
        <w:t>(71) The Federal Cartel Office has therefore examined the supply areas for cash services resulting from the individual branches of the parties and the actual demand of the purchasers of cash services and has based the spatial market delineation on this.</w:t>
      </w:r>
    </w:p>
    <w:p>
      <w:r>
        <w:t xml:space="preserve">2. Previous Practice of the Federal Cartel Office and the European Commission  </w:t>
        <w:br/>
        <w:t>a. Decision Practice of the Federal Cartel Office</w:t>
      </w:r>
    </w:p>
    <w:p>
      <w:r>
        <w:t>(72) In the mergers examined so far by the Federal Cartel Office, in which relevant markets for cash services were delineated, the question of whether these services constitute nationwide or regional markets could always remain open due to a lack of decision relevance.</w:t>
      </w:r>
    </w:p>
    <w:p>
      <w:r>
        <w:t>b. Decision Practice of the European Commission</w:t>
      </w:r>
    </w:p>
    <w:p>
      <w:r>
        <w:t>(73) In the context of delineating a spatially relevant market for CIT services, the European Commission also did not make a conclusive decision in the merger control procedure Comp/M. 3396 (Group 4 Falck / Securicor). The Commission explicitly excluded a market that is larger than the area of a single member state. The investigations of the European Commission at that time revealed no cross-border offers in this area. For countries like Luxembourg and the Netherlands, the European Commission concluded that CIT services are provided on a national market there. For the United Kingdom, a regional market was delineated for the purpose of the decision, which included the area of Scotland.</w:t>
      </w:r>
    </w:p>
    <w:p>
      <w:r>
        <w:t>(74) For Germany, no conclusive spatial market delineation was made in the decision, as the merger did not lead to competitive problems even when delineating regional markets. The parties to the Commission procedure argued that the business areas around a branch could be described by a radius of between 50 km and 80 km in urban areas with a higher purchaser density, while in more rural areas, they exhibited a radius of between 150 km and 200 km. However, the larger radii of the business areas in rural areas could not be confirmed by the investigations of the European Commission.</w:t>
      </w:r>
    </w:p>
    <w:p>
      <w:r>
        <w:t>(75) In its decision, the European Commission points out that due to a lack of transparency for the demand side, the competitive situation in a regional market cannot be easily transferred to other regional markets. Due to the absence of price lists at the national level, providers with overlapping business areas are indeed forced to mutually adjust their prices, but only in the areas where they are actually in competition with each other. The formation of a larger market due to "propagating" competitive forces was rejected by the European Commission in its decision.</w:t>
      </w:r>
    </w:p>
    <w:p>
      <w:r>
        <w:t xml:space="preserve">3. Presentation of the Procedural Participants on Spatial Market Delineation  </w:t>
        <w:br/>
        <w:t>a. Presentation of the Merging Parties</w:t>
      </w:r>
    </w:p>
    <w:p>
      <w:r>
        <w:t>(76) The merging parties assert in their notification that there are overwhelming reasons for a nationwide market.</w:t>
      </w:r>
    </w:p>
    <w:p>
      <w:r>
        <w:t>(77) Regarding the demand side, it is stated that a large number of customers demand cash services nationwide and would issue contracts nationwide. The largest customers of the merging parties operate nationwide and therefore have a nationwide demand for cash services. However, the merging parties concede that contracts that are regularly issued nationwide are divided into several lots regionally for risk reasons.</w:t>
      </w:r>
    </w:p>
    <w:p>
      <w:r>
        <w:t>(78) Regarding the supply side, the merging parties state that significant cash service providers – if not nationwide, then at least regionally – are active. Furthermore, cash service providers that are not active nationwide can also accept nationwide or regional contracts through cooperation or subcontracting. Brokers (including Cash Logistik and STS) also accept contracts nationwide and distribute them to their regional cooperation partners.</w:t>
      </w:r>
    </w:p>
    <w:p>
      <w:r>
        <w:t>(79) Despite their view that cash services constitute a nationwide market, the merging parties also address aspects that speak for a regional market delineation. Their activity is limited to a specific business area around the respective regional location. The catchment area of a cash center typically encompasses – depending on the economic conditions at the individual locations – 75 to 100 km around the respective location, although the actual extent of the area may be narrower or wider in individual cases.</w:t>
      </w:r>
    </w:p>
    <w:p>
      <w:r>
        <w:t>(80) Unicorn cites various factors that would limit the geographical extent of service provision. These include, among other things, working time restrictions for cash transport employees. Within these working time limits, employees perform pre- and post-activities such as vehicle takeover and inspection during their tours.</w:t>
      </w:r>
    </w:p>
    <w:p>
      <w:r>
        <w:rPr>
          <w:b/>
        </w:rPr>
        <w:t>[Pages 28–30]</w:t>
      </w:r>
    </w:p>
    <w:p>
      <w:r>
        <w:t xml:space="preserve">28  </w:t>
        <w:br/>
        <w:t xml:space="preserve">and loading of the vehicle. Furthermore, a significant part of the activity involves the pickup and delivery of cash to and from customers (stop times). Considering the limited average driving speeds and the predominantly city-center locations of customer sites, only a portion of the working hours remains for pure driving times, which is why the operational radii around the branches are limited. This also corresponds to the statements made by Unicorn in previous merger proceedings.  </w:t>
        <w:br/>
        <w:t xml:space="preserve">(81) Ziemann also names factors that would limit the scope of activity of a service provider in the area of cash transportation. In particular, the ratio of travel time (arrival and departure) to the duration of service on-site must be taken into account. Only through a high number of customers (network density) does an economically sensible ratio between the two values arise.  </w:t>
        <w:br/>
        <w:t xml:space="preserve">b. Statements of the Co-Applicant  </w:t>
        <w:br/>
        <w:t xml:space="preserve">(82) The co-applicant advocates the delineation of at least a nationwide market for cash services. From the measures of the European Commission to improve cross-border cash transportation, it derives a trend towards cross-border markets.  </w:t>
        <w:br/>
        <w:t xml:space="preserve">(83) In this context, the co-applicant emphasizes that a geographical market delineation for cash services that is narrower than a nationwide delineation would not accurately reflect the economic reality of the cash services industry. This arises from the fact that through cooperation agreements, even smaller providers could operate nationwide, for example, as cooperation partners of Cash Logistik or the Commerzbank subsidiary STS. The cooperation agreements would lead to a uniform price level and homogeneous competitive conditions in Germany. Also, due to the closure of Bundesbank branches, through which cash deposits into customer accounts occur, there would soon be an expansion of business areas and, due to the resulting competitive pressure, a nationwide market would emerge. Finally, the co-applicant cites the demand behavior of certain larger customers with a regional or national need for cash services as evidence of a regional or nationwide market. The ability of competitors to expand their business areas through the short-term establishment of new branches (operational bases or cash centers) also shows that the market entry barriers are low and that there are nationwide homogeneous competitive conditions.  </w:t>
        <w:br/>
        <w:t xml:space="preserve">4. Result of the Market Investigation  </w:t>
        <w:br/>
        <w:t xml:space="preserve">a. No Cross-Border Activities of Competitors  </w:t>
        <w:br/>
        <w:t xml:space="preserve">(84) Competition from cross-border companies providing cash services in Germany is currently not observable and seems to be difficult to reconcile with the requirements of European legislation in practice.  </w:t>
        <w:br/>
        <w:t xml:space="preserve">(85) Generally, it is true that Regulation (EU) No. 1214/2011 of the European Parliament and of the Council of November 16, 2011, on the professional cross-border road transport of euro cash between the member states of the euro area aims to eliminate trade barriers within the euro area in the field of cash transport services. Cash transport services should therefore be possible and facilitated across borders. Cash transport service providers can offer their services in other member states or deposit cash reserves with national central banks of other euro member states. However, for this, the service providers must obtain a "license for cross-border cash transports," which is issued by an authority in the service provider's country of origin.  </w:t>
        <w:br/>
        <w:t xml:space="preserve">(86) However, among the merger participants, only Geldservice Austria (GSA) was mentioned as a cross-border provider of these services in Germany. The GSA has indeed offered such services in Germany in the past, but has had to cease this activity due to the requirements of the aforementioned EU regulation. The company cited the requirements for the armoring of vehicles to be used for cross-border transports, which are not available in this configuration in Austria. Also, for transports in unarmored vehicles with corresponding security technology, which are generally provided for under Articles 14 and 15 of Regulation 1214/2011, the Federal Office for Goods Transport is currently not issuing any licenses.  </w:t>
        <w:br/>
        <w:t xml:space="preserve">(87) Providers operating in Germany are active in other European states, but provide these services through their own branches in the respective state. Customers also do not request the services cross-border. In particular, the provider structure in Germany differs significantly from that in other European states. The investigations of the Federal Cartel Office have not revealed any further competitor that provides its services cross-border – that is, through a branch not located in the country.  </w:t>
        <w:br/>
        <w:t xml:space="preserve">b. No Nationwide Market for Cash Services  </w:t>
        <w:br/>
        <w:t xml:space="preserve">(1) Behavior of the Demanders  </w:t>
        <w:br/>
        <w:t>(88) Demanders of cash services cover their needs in the market primarily regionally, although larger demanders conduct tenders and negotiations for these services centrally. Companies that centrally organize the procurement of cash services want to ensure that the requirements, particularly regarding creditworthiness and reliability, are uniformly defined and observed across the entire company. In the majority, these companies do not award contracts to a single provider of cash services, but to several providers covering individual regions. So few companies centrally commission only one provider that this demand behavior is not characteristic of the market. It is also unusual for retail companies with a larger branch network to commission a single cash service provider. Typically, these companies diversify their demand and commission various regionally active companies for each part of the overall service. Thus, they adapt their demand behavior to the structure of regionally active companies. The same applies to the surveyed nationwide active credit institutions.</w:t>
      </w:r>
    </w:p>
    <w:p>
      <w:r>
        <w:rPr>
          <w:b/>
        </w:rPr>
        <w:t>[Pages 31–33]</w:t>
      </w:r>
    </w:p>
    <w:p>
      <w:r>
        <w:t xml:space="preserve">31  </w:t>
        <w:br/>
        <w:t xml:space="preserve">(89) Customers with a low order volume also inquire with the locally based companies. Local or regional credit institutions such as savings banks or cooperative banks almost exclusively commission one of the providers operating locally with a branch and only consider such companies as alternatives in the event of a provider change.  </w:t>
        <w:br/>
        <w:t xml:space="preserve">(2) Spatial Scope of Providers of Cash Services  </w:t>
        <w:br/>
        <w:t xml:space="preserve">(90) The merger participants, like almost all companies operating in the field of cash services, have a branch network that only covers parts of the federal territory. Only the intervenor Prosegur has a multitude of locations distributed nationwide, allowing for nationwide market coverage. The respective medium-sized companies in the industry are not active nationwide and together – through their joint service provision in cash logistics – have such a small market weight that they currently cannot offer a significant number of customers an alternative for centralized procurement.  </w:t>
        <w:br/>
        <w:t xml:space="preserve">(91) Finally, the market areas do not overlap in such a way that this would lead to a nationwide market delineation. Rather, the competitive conditions are different in the individual market areas due to the varying provider and customer structures.  </w:t>
        <w:br/>
        <w:t xml:space="preserve">(92) The merger participants offer cash services to 95% of their customers within an average radius of approximately […] km around the respective location of the branch.  </w:t>
        <w:br/>
        <w:t xml:space="preserve">(93) Ziemann states the catchment areas of the operated branches for 95% of its own customers as […] km and […] km. The corresponding data from Unicorn lies between […] km and […] km (averaging at […] km).  </w:t>
        <w:br/>
        <w:t xml:space="preserve">(94) The competitors surveyed in the Prosegur/Brink's (B4-18/13) proceedings confirm in their responses the regional extent of the business areas and the regional market delineation. They indicated that they are active on average within a radius of […] km around their respective location. The individual figures vary between […] km and […] km.  </w:t>
        <w:br/>
        <w:t xml:space="preserve">(95) Upon inquiry, companies indicated that their revenues are not evenly distributed within the specified radius, so a radius consideration does not provide a sufficiently reliable approach to assess the spatial extent of a provider's business area. An example of this is the company Kötter, which operates a branch in Bremen, whose area of activity based on the radius indication would also include the greater Hamburg area. Based on 2-digit postal code areas, the company has specified its data and shown that no cash services are provided in Hamburg, although a small order volume is processed through subcontractors.  </w:t>
        <w:br/>
        <w:t xml:space="preserve">(96) The business areas of the branches operated by the merger participants are as follows:  </w:t>
        <w:br/>
        <w:t xml:space="preserve">[…]  </w:t>
        <w:br/>
        <w:t xml:space="preserve">Figure 2 - Business Areas of the Branches Operated by Ziemann  </w:t>
        <w:br/>
        <w:t xml:space="preserve">[…]  </w:t>
        <w:br/>
        <w:t xml:space="preserve">Figure 3 - Business Areas of the Branches Operated by Unicorn  </w:t>
        <w:br/>
        <w:t xml:space="preserve">(97) In addition to the participants, there are currently three other companies that would achieve a share of more than 10% of the total revenue of the industry in a nationwide consideration and are considered nationwide or regional competitors because their activities are directed towards several federal states. The graphical representation of the business areas of these competitors also shows the different spatial activity focuses of the individual companies. The providers only compete with each other in specific regions, which is why there are no homogeneous competitive structures based on a nationwide consideration. The three companies are the intervenor Prosegur, which is the only one operating nationwide, Brink's, and Kötter.  </w:t>
        <w:br/>
        <w:t xml:space="preserve">(98) Comparable business areas apply to the intervenor Prosegur. 95% of customers are served with cash services in a radius around the respective branches of approximately […] km:  </w:t>
        <w:br/>
        <w:t xml:space="preserve">[…]  </w:t>
        <w:br/>
        <w:t xml:space="preserve">Figure 4 - Business Areas of the Branches Operated by Prosegur  </w:t>
        <w:br/>
        <w:t xml:space="preserve">(99) Brink's serves 95% of its customers within an average radius of […] km around the respective branches.  </w:t>
        <w:br/>
        <w:t xml:space="preserve">(100) For Brink's, the business areas of its branches are as follows:  </w:t>
        <w:br/>
        <w:t xml:space="preserve">[…]  </w:t>
        <w:br/>
        <w:t xml:space="preserve">Figure 5 - Business Areas of the Branches Operated by Brink's  </w:t>
        <w:br/>
        <w:t xml:space="preserve">(101) The business area of the also regionally active competitor Kötter is depicted in the following figure. Here too, the regional extent of the activities of the individual branches is evident.  </w:t>
        <w:br/>
        <w:t xml:space="preserve">[…]  </w:t>
        <w:br/>
        <w:t xml:space="preserve">Figure 6 - Business Areas of the Branches Operated by Kötter  </w:t>
        <w:br/>
        <w:t xml:space="preserve">(102) In addition to these regionally active companies, there are several other companies that would each achieve shares of more than 1% in terms of nationwide revenues in the market. These include the companies  </w:t>
        <w:br/>
        <w:t xml:space="preserve">• Götz Geld- und Wertdienste GmbH &amp; Co. KG (Götz),  </w:t>
        <w:br/>
        <w:t xml:space="preserve">• ITT Industrie- und Transportschutz Thüringen (ITT),  </w:t>
        <w:br/>
        <w:t xml:space="preserve">• WSN Sicherheit und Service GmbH (WSN),  </w:t>
        <w:br/>
        <w:t xml:space="preserve">• WSD-Security GmbH (WSD),  </w:t>
        <w:br/>
        <w:t xml:space="preserve">The information on the delivery areas of the depicted competitors is based on the companies' responses to question 5 of the information order dated March 18, 2013, in the merger proceedings Prosegur/Brink's (B4-18/13).  </w:t>
        <w:br/>
        <w:t xml:space="preserve">(79) See warning Prosegur/Brink’s dated July 1, 2013, pp. 34f.  </w:t>
        <w:br/>
        <w:t>(80) All other companies offer cash services from a single location in an even narrower catchment area and achieve shares of less than 1% of the total revenues of the market in a nationwide consideration. Even though their regionally limited activities do not appear to be relevant for a nationwide market delineation, their activities can indeed be significant in the material assessment of the competitive situation (see activities of HLS in Hamburg).</w:t>
      </w:r>
    </w:p>
    <w:p>
      <w:r>
        <w:rPr>
          <w:b/>
        </w:rPr>
        <w:t>[Pages 34–36]</w:t>
      </w:r>
    </w:p>
    <w:p>
      <w:r>
        <w:t xml:space="preserve">34  </w:t>
        <w:br/>
        <w:t xml:space="preserve">• SVG AG with its subsidiaries TranSecurity Werttransporte &amp; Sicherheitsservice GmbH and MST Sicherheitstransportgesellschaft Mecklenburg mbH (SVG)  </w:t>
        <w:br/>
        <w:t xml:space="preserve">• GSB Security Gesellschaft für Geld- und Werttransporte mbH (GSB) and  </w:t>
        <w:br/>
        <w:t xml:space="preserve">• GWS Sicherheitsservice Geld-, Wert- und Sachtransporte GmbH (GWS Magdeburg).  </w:t>
        <w:br/>
        <w:t xml:space="preserve">• b.i.g. sicherheit gmbh (b.i.g.)  </w:t>
        <w:br/>
        <w:t xml:space="preserve">[…]  </w:t>
        <w:br/>
        <w:t xml:space="preserve">Figure 7 - Areas of activity of the branches operated by Götz  </w:t>
        <w:br/>
        <w:t xml:space="preserve">[…]  </w:t>
        <w:br/>
        <w:t xml:space="preserve">Figure 8 - Areas of activity of the branches operated by ITT  </w:t>
        <w:br/>
        <w:t xml:space="preserve">[…]  </w:t>
        <w:br/>
        <w:t xml:space="preserve">Figure 9 - Areas of activity of the branches operated by WSN  </w:t>
        <w:br/>
        <w:t xml:space="preserve">[…]  </w:t>
        <w:br/>
        <w:t xml:space="preserve">Figure 10 - Areas of activity of the branches operated by WSD-Security GmbH  </w:t>
        <w:br/>
        <w:t xml:space="preserve">[…]  </w:t>
        <w:br/>
        <w:t xml:space="preserve">Figure 11 - Areas of activity of the branches operated by SVG AG (MST and TranSecurity)  </w:t>
        <w:br/>
        <w:t xml:space="preserve">[…]  </w:t>
        <w:br/>
        <w:t xml:space="preserve">Figure 12 - Areas of activity of the branches operated by GSB  </w:t>
        <w:br/>
        <w:t xml:space="preserve">[…]  </w:t>
        <w:br/>
        <w:t xml:space="preserve">Figure 13 - Area of activity of the branch operated by GWS Magdeburg  </w:t>
        <w:br/>
        <w:t>(103) The graphical representation of the areas of activity of these companies shows the regional orientation of their activities and thus confirms the regionally varying competitive conditions.</w:t>
      </w:r>
    </w:p>
    <w:p>
      <w:r>
        <w:t xml:space="preserve">35  </w:t>
        <w:br/>
        <w:t xml:space="preserve">(3) The activity of brokers does not lead to a nationwide uniform price level  </w:t>
        <w:br/>
        <w:t xml:space="preserve">(104) The existence of companies like Cash Logistik and STS, which offer cash handling services to their customers without maintaining their own resources for service provision, also does not lead to a standardization of competitive conditions in the market.  </w:t>
        <w:br/>
        <w:t xml:space="preserve">(105) These profit-oriented companies can only sell services in the market if they succeed in marketing an added value to customers. For this purpose, they rely on the providers of cash handling services active in the market, as this is the only way they can provide the owed service to the customer without their own infrastructure. They are in direct competition with the providers of cash handling services. Only if the transaction costs for the demander in the formation of smaller than nationwide lots are higher than the price markup that a broker calculates on the prices of the service providers can a broker's offer be successful at all. However, this has not been the case to any significant extent so far.  </w:t>
        <w:br/>
        <w:t xml:space="preserve">(106) Currently, these companies account for less than 5% of the nationwide sales of cash handling services. Therefore, these offers do not have any market-shaping effect. Due to their dependence on cash service providers for service delivery, it is also not expected that this role will change significantly within the forecast period.  </w:t>
        <w:br/>
        <w:t xml:space="preserve">(4) Effects of the Bundesbank strategy to reduce the number of its branches  </w:t>
        <w:br/>
        <w:t xml:space="preserve">(107) In the merger proceedings Prosegur/Brink's (B4-18/13), the parties argued that the planned closures of various Bundesbank branches within the forecast period would have an impact on the spatial market definition. The Federal Cartel Office could not determine that such a Bundesbank strategy would lead to the emergence of a national market for cash handling services within the forecast period.  </w:t>
        <w:br/>
        <w:t xml:space="preserve">(108) Even if the Bundesbank reduces the number of its branches from the current 41 to 35 by 2015 as planned, the areas of activity of the competitors depicted above will not necessarily change in response. In each of these areas, Bundesbank branches will continue to exist, through which cash handling services will be provided. The reduction of the Bundesbank's branch network will likely lead to an increase in travel distances from the cash centers of the providers to the corresponding Bundesbank branch, which is expected to have a price-increasing effect on the provision of services. Demanders have expressed the expectation that this development will be at the expense of the smaller providers in the market. Primarily, this will relate to the regionally active providers, who generally belong to the group of providers that achieve less than 1% of the nationwide total sales of cash handling services and not to medium-sized providers such as WSN, ITT, or SVG. These regional providers would then have to cover longer distances compared to their limited area of activity.  </w:t>
        <w:br/>
        <w:t xml:space="preserve">(5) Interim Result  </w:t>
        <w:br/>
        <w:t xml:space="preserve">(109) After evaluating all investigation results, the relevant market for cash handling services is not a nationwide market.  </w:t>
        <w:br/>
        <w:t xml:space="preserve">c. Delimitation of regional markets for cash handling services  </w:t>
        <w:br/>
        <w:t xml:space="preserve">(110) The merger between Ziemann and Unicorn will have an impact on various regional markets. Given the competitive situation, the final delimitation of the individual regional markets in the respective areas can be left open, as under all conceivable delimitations, a significant hindrance to effective competition is excluded.  </w:t>
        <w:br/>
        <w:t xml:space="preserve">(111) The delimitation of the individual regional markets examined in more detail is based on the analysis of the supply flows of the parties, the information from competitors regarding the regional orientation of their activities, as well as the analysis of the demand behavior of the surveyed large demanders, whose demand accounts for more than 30% of the nationwide demand volume.  </w:t>
        <w:br/>
        <w:t xml:space="preserve">[…]  </w:t>
        <w:br/>
        <w:t xml:space="preserve">Figure 14 - Locations and delivery areas of the branches of the merger participants (Ziemann (light); Unicorn (dark))  </w:t>
        <w:br/>
        <w:t>82 The representation of the locations and catchment areas of the branches of the merger participants does not include the locations of competitors.</w:t>
      </w:r>
    </w:p>
    <w:p>
      <w:r>
        <w:rPr>
          <w:b/>
        </w:rPr>
        <w:t>[Pages 37–39]</w:t>
      </w:r>
    </w:p>
    <w:p>
      <w:r>
        <w:t xml:space="preserve">37  </w:t>
        <w:br/>
        <w:t xml:space="preserve">(112) Due to the largely different business areas of the merging parties, there are significant overlaps of the Unicorn branches in Stuttgart, Saarlouis (Saarland), Frankfurt, and Lüneburg with Hamburg.  </w:t>
        <w:br/>
        <w:t>(113) In view of the structure of the competitors active in the market, the precise spatial market delineation for the market areas of Stuttgart, Saarlouis (Saarland), Frankfurt, and Lüneburg (Hamburg) can remain open. The Federal Cartel Office considers the delivery areas of the target company to be the narrowest market delineation, as a competitor will be eliminated for customers in these areas due to the merger proposal.</w:t>
      </w:r>
    </w:p>
    <w:p>
      <w:r>
        <w:t xml:space="preserve">D. Antitrust Assessment  </w:t>
        <w:br/>
        <w:t>(114) The notified merger proposal does not meet the prohibition requirements of § 36 Abs. 1 GWB. It is not expected that the merger would significantly impede effective competition, neither through the creation or strengthening of a dominant market position nor through other unilateral or coordinated effects that significantly hinder competition. Rather, the assessment of the competitive conditions in the relevant markets indicates that the behavioral leeway of the merging parties remains sufficiently restricted even after the merger.</w:t>
      </w:r>
    </w:p>
    <w:p>
      <w:r>
        <w:t xml:space="preserve">1. Restriction of the behavioral leeway of the parties after the merger is executed  </w:t>
        <w:br/>
        <w:t>(115) After the merger is executed, Ziemann will be subjected to competitive pressure in all relevant markets for cash services, which sufficiently limits its behavioral leeway. This is due, on the one hand, to the fact that different regional providers are active in all markets. On the other hand, Ziemann faces Prosegur as a competitor, which holds a significant market position in all these markets, has financial resources from its shareholders, and can use these to limit the behavioral leeway of its competitors while pursuing an expansive market strategy (cf. Rdnr. 118 ff.). Prosegur also has economic incentives to use its financial strength for expansion if Ziemann were to raise its prices or reduce the quality of its services after the merger is executed.</w:t>
      </w:r>
    </w:p>
    <w:p>
      <w:r>
        <w:t xml:space="preserve">38  </w:t>
        <w:br/>
        <w:t xml:space="preserve">a. Encounter between Ziemann and the largest competitors in the relevant markets for cash services  </w:t>
        <w:br/>
        <w:t xml:space="preserve">(116) After the merger, Ziemann will become the second-largest German company in the field of cash services behind Prosegur, which could further expand its position as the largest provider operating in Germany through the acquisition of Brink's and could become the market leader in various regional markets or further strengthen its market leadership (merger procedure B4-18/13). Although the merger will extend Ziemann's area of activity beyond southern and northern Germany, the areas in which Ziemann will be active will not cover the entire federal territory as is the case with Prosegur, but will, for example, not cover large parts of the eastern federal states. Kötter, as the third strongest provider in Germany, will also fall significantly behind the merging parties and Prosegur in terms of revenue due to the expansion of Ziemann's area of activity after the merger.  </w:t>
        <w:br/>
        <w:t>(117) After the merger, Ziemann will encounter Prosegur as a nationwide provider in each of the regional markets served by Ziemann. However, the specific distribution of market shares, market leadership, the extent of market share gaps, and the regional and local competitors active there will vary significantly from regional market to regional market. Additionally, with Kötter and other medium-sized companies, a number of providers are active in the regional markets that Ziemann will serve after the merger as actual competitors or potential competitors in adjacent market areas, which overall suggests that the present merger will not lead to a significant expansion of the unilateral behavioral leeway of the merged company and furthermore of the other providers in the affected markets. The emergence of collective market dominance as a coordinated effect of the merger is also not to be expected in any of the affected markets.</w:t>
      </w:r>
    </w:p>
    <w:p>
      <w:r>
        <w:t xml:space="preserve">39  </w:t>
        <w:br/>
        <w:t xml:space="preserve">b. Competitive pressure from Prosegur will sufficiently control the behavioral leeway of Ziemann even in the core business areas of the company  </w:t>
        <w:br/>
        <w:t xml:space="preserve">(118) The behavioral leeway of the merging parties will also remain sufficiently restricted in the future because the company will remain exposed to competitive pressure from Prosegur in all currently affected markets. Prosegur's strength as a competitor is based on its established market position and the balanced customer structure in the currently affected markets. This would even be further strengthened by the merger with Brink’s. Furthermore, Prosegur would, due to its existing financial strength, be able at any time to implement growth and displacement strategies, even in Ziemann's core areas in Baden-Württemberg and Bavaria, where Ziemann holds a strong market position.  </w:t>
        <w:br/>
        <w:t xml:space="preserve">(119) Prosegur is part of the Prosegur SA Group, the third-largest security company worldwide with more than 150,000 employees and operations in 15 countries in Central and South America, Europe, and Asia. Prosegur SA achieved worldwide revenues of more than €3.6 billion in 2012. In the fiscal year 2011, worldwide revenue increased by nearly 10%, and in the fiscal year 2012, Prosegur was able to increase revenue by more than 30%, achieved through both organic growth and the implementation of an acquisition strategy. For the first quarter of 2013, Prosegur SA reported renewed revenue growth of 9.6%. The company's net income was also increased by 2.7% in the past year, amounting to more than €170 million. For external growth through the acquisition of 20 competitors, the company invested more than €570 million in the past two years.  </w:t>
        <w:br/>
        <w:t>(120) As the only company in the security industry, Prosegur SA has a Standard &amp; Poor's rating due to regional diversification, the quality of its customer base, financial stability, and other factors, which contributed to Prosegur issuing a 5-year bond of €500 million in the capital market in spring 2013.</w:t>
      </w:r>
    </w:p>
    <w:p>
      <w:r>
        <w:rPr>
          <w:b/>
        </w:rPr>
        <w:t>[Pages 40–42]</w:t>
      </w:r>
    </w:p>
    <w:p>
      <w:r>
        <w:t xml:space="preserve">40  </w:t>
        <w:br/>
        <w:t xml:space="preserve">could place at an interest rate of 2.75%. This enabled Prosegur to refinance existing loans, including extending their term and reducing interest expenses. That Prosegur SA also utilizes its financial strength for the benefit of its German subsidiary Prosegur is exemplified by the submitted annual financial statement for the year 2011, according to which Prosegur SA initially guarantees financial resources for a three-year period until the year 2014 amounting to […] €. The investigations have shown that Prosegur acts as a price-aggressive competitor. Furthermore, the intended acquisition of Brink's illustrates that Prosegur is pursuing an expansive market strategy in Germany.  </w:t>
        <w:br/>
        <w:t xml:space="preserve">2. The markets affected by the merger in detail  </w:t>
        <w:br/>
        <w:t xml:space="preserve">a. Market Stuttgart  </w:t>
        <w:br/>
        <w:t xml:space="preserve">(1) Market area and market volume  </w:t>
        <w:br/>
        <w:t xml:space="preserve">(121) The merger will not lead to a significant impediment to effective competition in the market for cash services in the Stuttgart area, regardless of the exact delineation of the relevant geographic market. In particular, it is not expected that the merger will result in the creation or strengthening of a dominant market position of the merger participants.  </w:t>
        <w:br/>
        <w:t xml:space="preserve">(122) The merger will affect the competitive situation in an area around Stuttgart as the center. Unicorn operates a branch in Stuttgart and serves customers from this location within a radius of approximately […] km. The competitive situation for customers in this defined area will change due to the elimination of a relevant provider in this market space. The delivery area of the Stuttgart branch of Unicorn, based on deliveries in 5-digit postal code areas, where approximately 90% of the revenue is generated, is as follows:  </w:t>
        <w:br/>
        <w:t xml:space="preserve">[…]  </w:t>
        <w:br/>
        <w:t xml:space="preserve">Figure 15 - Market area Stuttgart  </w:t>
        <w:br/>
        <w:t xml:space="preserve">(123) In the defined market, revenues of more than €34 million were generated in the past year.  </w:t>
        <w:br/>
        <w:t xml:space="preserve">(86) http://www.prosegur.de/web/groups/de/documents/gestion_web/prwebc014083.pdf, as of 22.06.2013, p. 1094 d.A.  </w:t>
        <w:br/>
        <w:t>(87) See warning Prosegur/Brink's dated 1.7.2013, p. 68.</w:t>
      </w:r>
    </w:p>
    <w:p>
      <w:r>
        <w:t xml:space="preserve">41  </w:t>
        <w:br/>
        <w:t xml:space="preserve">(2) Market shares and market share distances  </w:t>
        <w:br/>
        <w:t xml:space="preserve">(124) Regardless of the specific market delineation in the Stuttgart metropolitan area, Ziemann will have a market position as a result of the merger that slightly exceeds the presumption threshold for achieving a dominant market position of 40% (§ 18 Abs. 4 GWB), measured by market shares.  </w:t>
        <w:br/>
        <w:t xml:space="preserve">Competitors in the Stuttgart market Revenue Market share  </w:t>
        <w:br/>
        <w:t xml:space="preserve">Ziemann  </w:t>
        <w:br/>
        <w:t xml:space="preserve">[…] [25-30]%  </w:t>
        <w:br/>
        <w:t xml:space="preserve">Unicorn  </w:t>
        <w:br/>
        <w:t xml:space="preserve">[…] [10-15]%  </w:t>
        <w:br/>
        <w:t xml:space="preserve">Merger participants  </w:t>
        <w:br/>
        <w:t xml:space="preserve">[…] […]%  </w:t>
        <w:br/>
        <w:t xml:space="preserve">WSD-Security GmbH [35-40%]  </w:t>
        <w:br/>
        <w:t xml:space="preserve">Prosegur [10-15%]  </w:t>
        <w:br/>
        <w:t xml:space="preserve">b.i.g. sicherheit gmbh [10-15%]  </w:t>
        <w:br/>
        <w:t xml:space="preserve">elko Sicherheit GmbH [1-5%]  </w:t>
        <w:br/>
        <w:t xml:space="preserve">DB Vertrieb GmbH &lt;1%  </w:t>
        <w:br/>
        <w:t xml:space="preserve">Market volume €34.2 million 100%  </w:t>
        <w:br/>
        <w:t xml:space="preserve">Table 1 - Market structure in the Stuttgart market (based on data for the year 2012)  </w:t>
        <w:br/>
        <w:t xml:space="preserve">(125) The merger will result in significant market share additions. Ziemann will be able to increase its market share by more than [10-15]% points to over 40%. In the relevant market area, in addition to the merger participants, three other companies with significant market shares will be active. These include WSD-Security GmbH with a market share between 35% and 40%, as well as the intervenor Prosegur with a share between 10% and 15%, and b.i.g. Sicherheit, Karlsruhe, with a market share also between 10% and 15%. Other providers achieve only small market shares. These include elko Sicherheit, Aalen, with a market share between 1% and 5%, as well as DB Vertrieb GmbH, Sindelfingen, with less than 1% market share.  </w:t>
        <w:br/>
        <w:t xml:space="preserve">(126) The market volume includes the postal code-specific revenues of the merger participants and Prosegur. For WSD-Security GmbH, the revenues of its branches in the market area were fully included, while for b.i.g. security service GmbH, Karlsruhe, only those revenues generated within a radius of 100 km around Stuttgart were included. In this respect, this approach underestimates the market share of the merger participants and Prosegur. Nevertheless, it is not expected that the competitive assessment would have led to a different result if a postal code-specific recording of the revenues of all providers had been conducted, as it is not primarily the specific level of market shares that is decisive, but their distribution and the underlying market structure. This is consistent with the approach of the Federal Cartel Office in determining market volumes in the merger proceedings Prosegur/Brink's (B4-18/13).  </w:t>
        <w:br/>
        <w:t xml:space="preserve">(3) Market structure  </w:t>
        <w:br/>
        <w:t xml:space="preserve">(127) WSD is a medium-sized company with a focus on operations in Baden-Württemberg. The company operates a total of four locations, including cash centers. Three of the locations are within the relevant market here in Ludwigsburg, Winterbach, and Metzingen, within a distance of less than 30 km from Stuttgart. The company operates another location in Constance, also in Baden-Württemberg. The company employs over 100 vehicles for cash and valuables transport, serving customers from the banking, savings banks, postal, retail, and industrial sectors.  </w:t>
        <w:br/>
        <w:t xml:space="preserve">(128) At the beginning of 2013, IWS Industriewerkschutz opened a branch in Heilbronn. This means that another company has entered the market by expanding its previous business area. For the year 2013, the company is expected to achieve a market share of 1-5%.  </w:t>
        <w:br/>
        <w:t>(129) The intervenor Prosegur achieves a revenue-based market share between 10% and 15% in the relevant market. Thus, Prosegur has a solid market position in the Stuttgart and Baden-Württemberg area overall. In addition to the branch in Stuttgart, Prosegur operates two other locations in Karlsruhe and Donaueschingen. Furthermore, Prosegur has outstanding financial strength. Investigations have also shown that the potential execution of the merger between the intervenor Prosegur and Brink's would change the competitive structure in favor of Prosegur. Although Brink's has not been active in Stuttgart since the branch exchange with Unicorn last year, it still holds a significant position.</w:t>
      </w:r>
    </w:p>
    <w:p>
      <w:r>
        <w:rPr>
          <w:b/>
        </w:rPr>
        <w:t>[Pages 43–45]</w:t>
      </w:r>
    </w:p>
    <w:p>
      <w:r>
        <w:t xml:space="preserve">43  </w:t>
        <w:br/>
        <w:t xml:space="preserve">Prosegur still has contracts with customers for whom Unicorn currently provides cash services as a subcontractor in the Stuttgart area. According to the Federal Cartel Office, Prosegur would, after the completion of the merger with Brink's – unlike Brink's – not enter into collaborations with competitors due to its nationwide branch network and would therefore terminate these subcontractor contracts. Consequently, Prosegur would provide the services itself. This involves a revenue volume of […] million € with a few large customers. By the end of 2013 at the latest, Prosegur's market position would, according to the Federal Cartel Office, therefore be strengthened by this revenue share, while the market position of Ziemann/Unicorn would correspondingly decrease.  </w:t>
        <w:br/>
        <w:t xml:space="preserve">(130) Due to the provider structure with WSD as a regional provider with an established market position and a mixed customer structure, and Prosegur as a nationwide provider with a solidified and, after the completion of the merger between Prosegur and Brink's, presumably further strengthening market position, it is not expected that there will be a significant increase in market power of the merger participants as a non-coordinated effect of the merger.  </w:t>
        <w:br/>
        <w:t xml:space="preserve">(131) Due to the ongoing asymmetry of providers, particularly regarding the geographical extent of their respective business areas, the emergence of a collectively dominant market position as a coordinated effect of the merger is also not expected. This applies both to a possible dominant market position of Ziemann (after the merger with Unicorn) together with Prosegur (after the completion of the merger with Brink's) and regarding a possible dominant market position of the two already mentioned and WSD. In the former case, it can also be assumed that WSD and the other providers active in the market area would be able to permanently disrupt any implicit coordination between Ziemann and Unicorn.  </w:t>
        <w:br/>
        <w:t xml:space="preserve">(4) Alternative Market Consideration  </w:t>
        <w:br/>
        <w:t>91 See letter from attorney Dr. Werner, Norton Rose, dated 05.06.2013, p. 393f. of the file, as well as letter from attorney Dr. Rinne, Milbank, dated 25.06.2013.</w:t>
      </w:r>
    </w:p>
    <w:p>
      <w:r>
        <w:t xml:space="preserve">44  </w:t>
        <w:br/>
        <w:t xml:space="preserve">(132) Even with a further geographical market delineation, the merger will not lead to a significant hindrance of effective competition.  </w:t>
        <w:br/>
        <w:t xml:space="preserve">(133) South of the market as defined, Unicorn is represented with three and Prosegur with two branches. Furthermore, an overlap of the activity areas of the merger participants in the southwest (Offenburg, Freiburg up to the border with Switzerland) can be excluded due to the distance to be covered.92  </w:t>
        <w:br/>
        <w:t xml:space="preserve">(134) To the north of the Stuttgart area, the Frankfurt and Nuremberg areas are adjacent, and to the east, the Munich area. Since strong competitors are present in these markets, even with an alternative regional market delineation that includes parts of these areas, a hindrance to competition due to the merger can be excluded.  </w:t>
        <w:br/>
        <w:t xml:space="preserve">(135) Consideration of Saarland can be excluded due to the distance to be covered.93  </w:t>
        <w:br/>
        <w:t xml:space="preserve">b. Market Saarlouis (Saarland)  </w:t>
        <w:br/>
        <w:t xml:space="preserve">[…]  </w:t>
        <w:br/>
        <w:t xml:space="preserve">Figure 16 - Competitors in Unicorn's delivery area in Saarlouis (Saarland)  </w:t>
        <w:br/>
        <w:t xml:space="preserve">(136) The market Saarlouis (Saarland) is a minor market within the meaning of § 36 Abs. 1 S. 2 Nr. 2 GWB. In the past year, less than €15 million was generated in the regional market.  </w:t>
        <w:br/>
        <w:t xml:space="preserve">(137) Unicorn's branch is located in Saarlouis. Unicorn has stated that it serves around 95% of customers within a radius of […] km.94 A significant part of this radius lies outside of Germany, with neither Unicorn nor other competitors operating cross-border.  </w:t>
        <w:br/>
        <w:t xml:space="preserve">(138) Even when fully including all revenues from the locations of competitors within approximately 125 km around the Unicorn branch, these total revenues remain below €14 million. Competitors that only have a more distant branch are disregarded, as with increasing distance, fuel costs rise and travel times into the market area increase to such an extent that homogeneous competitive conditions would no longer exist. In calculating the market volume, the Federal Cartel Office included not only the revenues of the Unicorn branch in Saarlouis and the Ziemann branch in Bexbach but also the revenues of Prosegur in Neunkirchen, Chorus Security Service GmbH &amp; Co. KG in Trier, as well as BS Beck Sicherheitsdienst GmbH &amp; Co. KG with branches in Simmern, Kaiserslautern, and Völklingen. The Security Service USS GmbH, Mannheim, was also included with all its revenues in the field of cash services.  </w:t>
        <w:br/>
        <w:t xml:space="preserve">c. Market Frankfurt  </w:t>
        <w:br/>
        <w:t xml:space="preserve">[…]  </w:t>
        <w:br/>
        <w:t xml:space="preserve">Figure 17 - Competitors in Unicorn's delivery area in Frankfurt a.M.  </w:t>
        <w:br/>
        <w:t xml:space="preserve">(139) The merger will not lead to a significant hindrance of effective competition in the cash services market in the Frankfurt area, regardless of the exact delineation of the geographically relevant market.  </w:t>
        <w:br/>
        <w:t>(140) When delineating a market considering the radius in which Unicorn serves 95% of its customers, all major competitors have branches within this area. In addition to the merger participants, Prosegur, Brink's, and Kötter are also represented as strong service providers with branches in the Frankfurt area. The only branch of the acquirer Ziemann is located in Mannheim, thus at the edge of the defined area. However, its catchment area extends to Frankfurt and well into Unicorn's delivery area. Additionally, regionally stronger medium-sized competitors such as ITT Industrie- und Transportschutz Thüringen GmbH with a branch in Offenbach and IWS Industrie-Werkschutz GmbH in Aschaffenburg are active in this area.</w:t>
      </w:r>
    </w:p>
    <w:p>
      <w:r>
        <w:rPr>
          <w:b/>
        </w:rPr>
        <w:t>[Pages 46–48]</w:t>
      </w:r>
    </w:p>
    <w:p>
      <w:r>
        <w:t xml:space="preserve">46  </w:t>
        <w:br/>
        <w:t xml:space="preserve">Competitors in the Frankfurt Market Revenue Market Share  </w:t>
        <w:br/>
        <w:t xml:space="preserve">Ziemann  </w:t>
        <w:br/>
        <w:t xml:space="preserve">[…] [10-15]%  </w:t>
        <w:br/>
        <w:t xml:space="preserve">Unicorn  </w:t>
        <w:br/>
        <w:t xml:space="preserve">[…] [10-15]%  </w:t>
        <w:br/>
        <w:t xml:space="preserve">Merger participants jointly  </w:t>
        <w:br/>
        <w:t xml:space="preserve">[…] […]%  </w:t>
        <w:br/>
        <w:t xml:space="preserve">Prosegur [25-30%]  </w:t>
        <w:br/>
        <w:t xml:space="preserve">Brink's [10-15%]  </w:t>
        <w:br/>
        <w:t xml:space="preserve">Prosegur/Brink's jointly [35-40%]  </w:t>
        <w:br/>
        <w:t xml:space="preserve">KÖTTER Geld- &amp; Wertdienste GmbH &amp; Co. KG [15-20%]  </w:t>
        <w:br/>
        <w:t xml:space="preserve">IWS Industrie-Werkschutz GmbH [10-15%]  </w:t>
        <w:br/>
        <w:t xml:space="preserve">ITT Industrie- und Transportschutz Thüringen GmbH [5-10%]  </w:t>
        <w:br/>
        <w:t xml:space="preserve">BS Beck Sicherheitsdienst GmbH &amp; Co. KG [1-5%]  </w:t>
        <w:br/>
        <w:t xml:space="preserve">Security Service USS GmbH [1-5%]  </w:t>
        <w:br/>
        <w:t xml:space="preserve">GEORGI GmbH &amp; Co. KG - Transporte [&lt;1%]  </w:t>
        <w:br/>
        <w:t xml:space="preserve">GWD Geld- Wert- Daten- transporte GmbH &amp; Co. KG [&lt;1%]  </w:t>
        <w:br/>
        <w:t xml:space="preserve">DB Vertrieb GmbH / Deutsche Bahn AG [&lt;1%]  </w:t>
        <w:br/>
        <w:t xml:space="preserve">Security-Guard-Service Sicherheitsdienste GmbH [&lt;1%]  </w:t>
        <w:br/>
        <w:t xml:space="preserve">Market Volume 42,091,994.33 100.00%  </w:t>
        <w:br/>
        <w:t xml:space="preserve">Table 2 - Competitive Situation in the Frankfurt a.M. Market (based on data for the year 2012)  </w:t>
        <w:br/>
        <w:t xml:space="preserve">(141) In the market thus delineated, revenues of more than €42 million were achieved in the past year. The merger participants achieved a revenue-based market share of [25-30]% in this market. The revenues of the branch in Gießen were fully included, as the delivery area is almost entirely within this market area. The revenues of the branch in Koblenz and Ziemann's revenues within this market area were considered based on postal codes. After the completion of the planned merger, Prosegur and Brink's would achieve a share of 35-40%. Kötter, as the third strongest competitor, achieved a share of 10-15%. Subsequent medium-sized companies (IWS and ITT) achieve market shares of 10-15% and 5-10%, respectively. The other companies achieve only small market shares (Georgi, GWD, DB Vertrieb GmbH, Security Guard) of less than 1% market share each.  </w:t>
        <w:br/>
        <w:t xml:space="preserve">(142) Due to this provider structure, it is not expected that there will be a significant increase in market power as a non-coordinated effect of the merger. Prosegur is a competitor in the market that, on the one hand, has a significant market share advantage of more than 35% after the merger with Brink's and, in terms of its corporate structure and financial strength, is already capable of limiting the unilateral price increase potential of the merger participants even without this merger. The activities of Kötter and other medium-sized companies such as IWS Werkschutz GmbH, Offenbach, and ITT Industrie- und Transportschutz Thüringen, Offenbach, also ensure the continued existence of effective competition even after the completion of the merger under review here. The competitive pressure from these providers as outsiders in relation to a possible collectively dominant position of Ziemann after the merger and Prosegur after the merger with Brink's, as well as the ongoing asymmetry between Ziemann and Prosegur, particularly regarding the spatial extent of their respective business areas, also do not suggest the emergence of a collectively dominant position of Ziemann and Prosegur as a coordinated effect of the present merger.  </w:t>
        <w:br/>
        <w:t>(143) North of Frankfurt, the merger does not lead to any market share additions. Furthermore, strong competitors are represented in the market here. To the south and east, there are also areas where strong competitors with branches are present. Any further regional market delineation will therefore also not lead to any restriction of effective competition.</w:t>
      </w:r>
    </w:p>
    <w:p>
      <w:r>
        <w:t xml:space="preserve">48  </w:t>
        <w:br/>
        <w:t xml:space="preserve">d. Market Lüneburg (Hamburg)  </w:t>
        <w:br/>
        <w:t xml:space="preserve">[…]  </w:t>
        <w:br/>
        <w:t xml:space="preserve">Figure 18 - Market Lüneburg (Hamburg)  </w:t>
        <w:br/>
        <w:t>(144) The merger will not lead to a significant hindrance of effective competition in the market for cash services in the Lüneburg market (with Hamburg), regardless of the exact delineation of a spatially relevant market. Due to the provider structure, it is not expected that there will be a significant increase in market power as a non-coordinated effect of the merger. Rather, this merger already improves the existing market structures. The present merger is even more significant for the market structures if the merger project Prosegur/Brink's were to be completed.</w:t>
      </w:r>
    </w:p>
    <w:p>
      <w:r>
        <w:rPr>
          <w:b/>
        </w:rPr>
        <w:t>[Pages 49–51]</w:t>
      </w:r>
    </w:p>
    <w:p>
      <w:r>
        <w:t xml:space="preserve">49  </w:t>
        <w:br/>
        <w:t xml:space="preserve">Competitors in the Market  </w:t>
        <w:br/>
        <w:t xml:space="preserve">Lüneburg (Hamburg) Revenue Market Share  </w:t>
        <w:br/>
        <w:t xml:space="preserve">Ziemann  </w:t>
        <w:br/>
        <w:t xml:space="preserve">[…] [5-10]%  </w:t>
        <w:br/>
        <w:t xml:space="preserve">Unicorn  </w:t>
        <w:br/>
        <w:t xml:space="preserve">[…] [10-15]%  </w:t>
        <w:br/>
        <w:t xml:space="preserve">Merger Participants  </w:t>
        <w:br/>
        <w:t xml:space="preserve">together  </w:t>
        <w:br/>
        <w:t xml:space="preserve">[…] […]%  </w:t>
        <w:br/>
        <w:t xml:space="preserve">Prosegur [35-40%]  </w:t>
        <w:br/>
        <w:t xml:space="preserve">Brink's [20-25%]  </w:t>
        <w:br/>
        <w:t xml:space="preserve">Prosegur/Brink's together [60-65%]  </w:t>
        <w:br/>
        <w:t xml:space="preserve">HLS Hamburger Logistik Service GmbH [10-15%]  </w:t>
        <w:br/>
        <w:t xml:space="preserve">MST  </w:t>
        <w:br/>
        <w:t xml:space="preserve">Sicherheitstransportgesellschaft Mecklenburg mbH (SVG AG) [5-10%]  </w:t>
        <w:br/>
        <w:t xml:space="preserve">20,429,027 100.0%  </w:t>
        <w:br/>
        <w:t xml:space="preserve">Table 3 - Competitive Situation in the Lüneburg (Hamburg) Market  </w:t>
        <w:br/>
        <w:t xml:space="preserve">(145) In the catchment area described by the delivery radius of the Unicorn branch, where cash services are offered, Unicorn achieves more than 99% of the total revenues of this branch. The revenues of Ziemann and Unicorn as well as those of Prosegur and Brink's were assigned to this delineated area down to the postal code level. Since the area also includes Hamburg, the total revenues of HLS Hamburger Logistik Service GmbH, Hamburg, a subsidiary of Haspa, were also considered in the total revenue volume with third parties. To the extent that revenue figures for two-digit postal code areas were available from MST Sicherheitstransportgesellschaft Mecklenburg mbH, these revenues were also included in the market volume. Overall, more than €20 million was generated in the market as delineated in the past year.  </w:t>
        <w:br/>
        <w:t xml:space="preserve">(146) The merger participants together achieve less than 20% market share and are thus still significantly behind Prosegur, which has a market share between 35% and 40% and would hold more than 60% of the market volume after its acquisition. The emergence of a dominant market position or such behavioral leeway of the merger participants that would lead to a significant impairment of effective competition is excluded.  </w:t>
        <w:br/>
        <w:t>(147) Due to the continuing asymmetry between Ziemann and Prosegur, particularly with regard to the spatial extent of their respective business areas, the emergence of a collectively dominant market position as a coordinated effect of the merger is not to be expected.</w:t>
      </w:r>
    </w:p>
    <w:p>
      <w:r>
        <w:t xml:space="preserve">50  </w:t>
        <w:br/>
        <w:t xml:space="preserve">The competitive pressure from other providers active in the market area, HLS and MST, also argues against this, as they are expected to be able to permanently disrupt any implicit coordination between Ziemann and Prosegur as external competitors.  </w:t>
        <w:br/>
        <w:t xml:space="preserve">(148) Rather, Ziemann only achieves a market position that suggests it will be able to restrict Prosegur's behavioral leeway even after its possible merger with Brink's after the execution of the merger in question.  </w:t>
        <w:br/>
        <w:t xml:space="preserve">(149) When delineating a larger spatial market, the merger will also not lead to any impairment of effective competition under any conceivable circumstances due to the lack of market share additions and strong competitors.  </w:t>
        <w:br/>
        <w:t xml:space="preserve">VI. Summary Overall Assessment  </w:t>
        <w:br/>
        <w:t xml:space="preserve">(150) Ziemann registered the project to acquire all shares in Unicorn on May 10, 2013 – initially incomplete.  </w:t>
        <w:br/>
        <w:t xml:space="preserve">(151) According to § 36 Abs. 1 Satz 1 GWB, a merger is to be prohibited if it would significantly impede effective competition, particularly if it is expected to establish or strengthen a dominant market position. This does not apply if the participating companies demonstrate that the merger will also lead to improvements in competitive conditions and that these improvements outweigh the impairment of competition or if the prohibition conditions of sentence 1 are met in a market where goods or commercial services have been offered for at least five years and where less than €15 million was generated in the last calendar year, thus constituting a minor market.  </w:t>
        <w:br/>
        <w:t>(152) The Federal Cartel Office has concluded based on the investigations that the merger will not lead to a significant impairment of effective competition in any of the affected regional markets (Stuttgart, Frankfurt a.M., Saarlouis (Saarland), or Lüneburg (Hamburg)), where there are overlaps between the business areas of the participants.</w:t>
      </w:r>
    </w:p>
    <w:p>
      <w:r>
        <w:t xml:space="preserve">51  </w:t>
        <w:br/>
        <w:t xml:space="preserve">(153) This assessment arises from the overall consideration of all relevant and defining structural criteria for the markets.  </w:t>
        <w:br/>
        <w:t xml:space="preserve">(154) Ziemann does not exceed the presumption threshold for a dominant market position in any of the other spatially relevant markets, except for the Stuttgart market. Only in the Stuttgart market would Ziemann achieve a market share of more than 40% after the merger. Currently, competitors are active in all relevant markets to such an extent that Ziemann's behavioral leeway will be permanently restricted, which is why unilateral effects that would lead to a significant restriction of effective competition in the sense of the newly formulated § 36 Abs. 1 Satz 1 GWB are not to be expected. In particular, Prosegur is a nationwide competitor in the market that will also be able to permanently restrict any emerging behavioral leeway through its financial strength. Additionally, various medium-sized companies are active in the regional markets, whose respective market positions will also contribute to restricting the behavioral leeway of the merger participants to the extent possible.  </w:t>
        <w:br/>
        <w:t xml:space="preserve">VII. Fees  </w:t>
        <w:br/>
        <w:t xml:space="preserve">(155) The approval of a merger project is subject to fees as an official act of the cartel authority according to § 40 GWB in accordance with § 80 Abs. 1 Satz 2 Nr. 2 GWB. The cartel authority may charge fees of up to €50,000, and in cases of particularly great economic significance and exceptionally high administrative effort, up to €100,000 (§ 80 Abs. 2 Satz 2 Nr. 1 in conjunction with sentence 3 GWB). The notification of a merger according to § 39 Abs. 1 GWB is also subject to fees according to § 80 Abs. 1 Satz 2 Nr. 1 GWB. The fee for the approval will be credited against the fee for the notification of the merger (§ 80 Abs. 1 Satz 4 GWB).  </w:t>
        <w:br/>
        <w:t>(156) The amount of the fee is determined according to § 80 Abs. 2 Satz 1 GWB based on the personnel and material effort of the cartel authority (cost coverage principle) taking into account the economic significance of the subject of the fee-based action (equivalence principle). In this context, the economic significance of the merger is of relatively greater importance. It regularly arises from the expected economic benefits of the merger for the notifying companies and the impacts on the</w:t>
      </w:r>
    </w:p>
    <w:p>
      <w:r>
        <w:rPr>
          <w:b/>
        </w:rPr>
        <w:t>[Pages 52–54]</w:t>
      </w:r>
    </w:p>
    <w:p>
      <w:r>
        <w:t xml:space="preserve">52  </w:t>
        <w:br/>
        <w:t xml:space="preserve">the affected market. The economic benefits of the merger for the companies are indicated by their revenues in the relevant markets and their market shares. Within the fee framework, the average case is assigned the medium fee as an appropriate fee. This amounts to €25,000 according to the currently applicable fee framework. From this average value, adjustments may be made depending on the respective economic significance and the workload, the amount of which is at the discretion of the cartel authority.  </w:t>
        <w:br/>
        <w:t xml:space="preserve">(157) The Federal Cartel Office attributes an economic significance to the notified merger proposal that is above average. The merger proposal results in significant market share additions in a number of regional markets. The merger participants are among the five largest providers of cash services in Germany. After the merger, the merger participants have market shares that exceed the presumption threshold of § 18 Abs. 4, 5 GWB. The factual and personnel effort of the cartel authority was above average. An incomplete notification was submitted to the Federal Cartel Office. Extensive documents were submitted in connection with the merger. This includes, in particular, the weekly reports of the consulting firm Dr. Wieselhuber &amp; Partner. Additionally, there are complex investigations to determine the market volume based on five-digit postal codes and the market shares in the regional markets affected by the merger.  </w:t>
        <w:br/>
        <w:t xml:space="preserve">(158) Considering all the criteria relevant for determining the fee, a fee of € […] is appropriate for the clearance in this case.  </w:t>
        <w:br/>
        <w:t xml:space="preserve">(159) The separately to be charged fee for the notification of the merger proposal has been set at € […] in the exercise of due discretion.  </w:t>
        <w:br/>
        <w:t xml:space="preserve">(160) The cost debtors are, according to § 80 Abs. 6 Satz 1 Nr. 2 in conjunction with § 80 Abs. 1 Nr. 2, § 40 GWB, the participants 1 and 2 as joint debtors (§ 80 Abs. 6 Satz 3 GWB). In this regard, the separately to be set fee of € […] for the notification of the merger proposal will be credited to the applicants.  </w:t>
        <w:br/>
        <w:t xml:space="preserve">(161) The fees of € […] are due upon delivery of this decision and must be transferred within one month after delivery to the account of the Federal Treasury Trier  </w:t>
        <w:br/>
        <w:t xml:space="preserve">IBAN: DE81 5900 0000 0059 0010 20  </w:t>
        <w:br/>
        <w:t xml:space="preserve">Deutsche Bundesbank, Branch Saarbrücken  </w:t>
        <w:br/>
        <w:t xml:space="preserve">BIC: MARKDEF 1590  </w:t>
        <w:br/>
        <w:t xml:space="preserve">Please ensure to indicate the purpose of use as the cash reference number 810600277378 and the date of the decision; otherwise, the payment cannot be processed.  </w:t>
        <w:br/>
        <w:t xml:space="preserve">(162) If no or incomplete payment is made by the end of one month after the date of delivery, late fees of one percent of the outstanding amount may be charged for each commenced month of delay (§ 80 Abs. 8 GWB, § 1 Abs. 2 KartKostVO in conjunction with § 18 Abs. 1 VwKostG). For transfers from abroad, bank charges generally apply. In these cases, it must be ensured that the full fee is credited to the account of the Federal Cartel Office.  </w:t>
        <w:br/>
        <w:t xml:space="preserve">(163) The costs to be set as expenses in addition to the fees in accordance with § 80 Abs. 1 Satz 3 GWB will be charged separately.  </w:t>
        <w:br/>
        <w:t xml:space="preserve">VIII. Notification of Execution  </w:t>
        <w:br/>
        <w:t>(164) It is hereby noted that the notification of the merger proposal does not affect the obligation under § 39 Abs. 6 GWB to promptly notify the execution of the merger.</w:t>
      </w:r>
    </w:p>
    <w:p>
      <w:r>
        <w:t xml:space="preserve">IX. Legal Remedies  </w:t>
        <w:br/>
        <w:t xml:space="preserve">An appeal against this decision is open. It must be submitted in writing within a period of one month starting from the delivery of the decision to the Federal Cartel Office, Kaiser-Friedrich-Straße 16, 53113 Bonn. However, it is sufficient if it is received within this period by the appellate court, the Higher Regional Court of Düsseldorf.  </w:t>
        <w:br/>
        <w:t xml:space="preserve">The appeal must be substantiated by a written submission to be filed with the Federal Cartel Office or the appellate court. The deadline for the appeal justification is two months. It begins with the delivery of the decision and can be extended upon request by the presiding judge of the appellate court. The appeal justification must contain the statement of the extent to which the decision is contested and the request for its amendment or annulment, and must specify the facts and evidence, including any new ones, on which the appeal is based.  </w:t>
        <w:br/>
        <w:t xml:space="preserve">The appeal and the appeal justification must be signed by a lawyer.  </w:t>
        <w:br/>
        <w:t xml:space="preserve">_______________ _______________ _______________  </w:t>
        <w:br/>
        <w:t xml:space="preserve">Schulze Dr. Mehler Jakobi  </w:t>
        <w:br/>
        <w:t>You are hereby informed that the decision will be published – in accordance with the tenor – in the Federal Gazette (§ 43 Abs. 2 Nr. 1 GWB) and – in full text – on the internet. You are therefore requested to inform the decision department in writing within 7 days after delivery of this decision whether the decision contains trade secrets that need to be redacted before publication. Please justify why the requested redactions constitute trade secrets. If the responsible decision department does not receive any notification from you within 7 days, the Federal Cartel Office will assume that this decision does not contain trade secrets and will publish it.</w:t>
      </w:r>
    </w:p>
    <w:p>
      <w:r>
        <w:rPr>
          <w:b/>
        </w:rPr>
        <w:t>[Pages 55–57]</w:t>
      </w:r>
    </w:p>
    <w:p>
      <w:r>
        <w:t xml:space="preserve">55  </w:t>
        <w:br/>
        <w:t xml:space="preserve">Table of Contents  </w:t>
        <w:br/>
        <w:t xml:space="preserve">I. The Project ..................................................................................................................... 3  </w:t>
        <w:br/>
        <w:t xml:space="preserve">II. The Participating Companies ....................................................................................... 3  </w:t>
        <w:br/>
        <w:t xml:space="preserve">A. The Merger Participants ............................................................................................ 3  </w:t>
        <w:br/>
        <w:t xml:space="preserve">1. Ziemann Sicherheit Holding GmbH ............................................................................ 3  </w:t>
        <w:br/>
        <w:t xml:space="preserve">a. Activity and Structure of the Company ............................................................ 3  </w:t>
        <w:br/>
        <w:t xml:space="preserve">b. Revenues .................................................................................................................. 5  </w:t>
        <w:br/>
        <w:t xml:space="preserve">2. Unicorn Geld- und Wertdienstleistungen GmbH ....................................................... 5  </w:t>
        <w:br/>
        <w:t xml:space="preserve">a. Activity and Structure of the Company ............................................................ 5  </w:t>
        <w:br/>
        <w:t xml:space="preserve">b. Revenues .................................................................................................................. 7  </w:t>
        <w:br/>
        <w:t xml:space="preserve">B. The Third Party Prosegur ............................................................................................ 7  </w:t>
        <w:br/>
        <w:t xml:space="preserve">1. Activity and Structure of the Company ................................................................ 7  </w:t>
        <w:br/>
        <w:t xml:space="preserve">2. Revenues ...................................................................................................................... 9  </w:t>
        <w:br/>
        <w:t xml:space="preserve">III. Procedural Course ........................................................................................................ 9  </w:t>
        <w:br/>
        <w:t xml:space="preserve">A. Notification and Deadline .......................................................................................... 9  </w:t>
        <w:br/>
        <w:t xml:space="preserve">B. Joinder .......................................................................................................................... 9  </w:t>
        <w:br/>
        <w:t xml:space="preserve">C. Right to be Heard ....................................................................................................... 10  </w:t>
        <w:br/>
        <w:t xml:space="preserve">D. Investigations .............................................................................................................. 10  </w:t>
        <w:br/>
        <w:t xml:space="preserve">1. Participants .............................................................................................................. 10  </w:t>
        <w:br/>
        <w:t xml:space="preserve">2. Competitors ............................................................................................................. 10  </w:t>
        <w:br/>
        <w:t xml:space="preserve">3. Brokers ...................................................................................................................... 11  </w:t>
        <w:br/>
        <w:t xml:space="preserve">4. Demanders ................................................................................................................ 11  </w:t>
        <w:br/>
        <w:t xml:space="preserve">IV. Formal Conditions for Prohibition .............................................................................. 11  </w:t>
        <w:br/>
        <w:t xml:space="preserve">A. Scope of Application of the GWB ............................................................................. 11  </w:t>
        <w:br/>
        <w:t xml:space="preserve">B. Merger Statutory Requirement ................................................................................ 12  </w:t>
        <w:br/>
        <w:t xml:space="preserve">V. Substantive Conditions for Prohibition ......................................................................... 12  </w:t>
        <w:br/>
        <w:t xml:space="preserve">A. Framework Conditions of Competition in the Field of Cash and  </w:t>
        <w:br/>
        <w:t xml:space="preserve">Value Transport Services ............................................................................................... 12  </w:t>
        <w:br/>
        <w:t xml:space="preserve">1. Service ...................................................................................................................... 12  </w:t>
        <w:br/>
        <w:t xml:space="preserve">2. Providers .................................................................................................................... 14  </w:t>
        <w:br/>
        <w:t xml:space="preserve">3. Brokers ...................................................................................................................... 15  </w:t>
        <w:br/>
        <w:t xml:space="preserve">4. Demanders ................................................................................................................ 16  </w:t>
        <w:br/>
        <w:t xml:space="preserve">B. Substantive Market Definition .................................................................................. 18  </w:t>
        <w:br/>
        <w:t xml:space="preserve">1. Approach to Defining a Distinct Market for  </w:t>
        <w:br/>
        <w:t xml:space="preserve">Cash Services Including the Filling and Maintenance of ATMs ......................... 18  </w:t>
        <w:br/>
        <w:t xml:space="preserve">2. Presentation of the Merger Participants on Substantive Market Definition .......... 18  </w:t>
        <w:br/>
        <w:t xml:space="preserve">3. Presentation of the Third Party .............................................................................. 19  </w:t>
        <w:br/>
        <w:t xml:space="preserve">4. Previous Decision-Making Practice of the Federal Cartel Office and the  </w:t>
        <w:br/>
        <w:t xml:space="preserve">European Commission ............................................................................................... 20  </w:t>
        <w:br/>
        <w:t xml:space="preserve">a. Decision-Making Practice of the European Commission .................................. 20  </w:t>
        <w:br/>
        <w:t xml:space="preserve">b. Decision-Making Practice of the Federal Cartel Office ...................................... 21  </w:t>
        <w:br/>
        <w:t xml:space="preserve">5. Results of the Investigations ................................................................................... 21  </w:t>
        <w:br/>
        <w:t xml:space="preserve">a. Transport and Processing of Cash Forms the Relevant Market for  </w:t>
        <w:br/>
        <w:t xml:space="preserve">Cash Services ............................................................................................................. 21  </w:t>
        <w:br/>
        <w:t xml:space="preserve">b. No Distinction Based on the Type of Demanders (Trade/Banks) .................... 22  </w:t>
        <w:br/>
        <w:t xml:space="preserve">c. Distinct Market for Value Transport ................................................................. 22  </w:t>
        <w:br/>
        <w:t>d. Distinct Market for Security Services ............................................................... 23</w:t>
      </w:r>
    </w:p>
    <w:p>
      <w:r>
        <w:t xml:space="preserve">56  </w:t>
        <w:br/>
        <w:t xml:space="preserve">C. Geographical Market Definition ................................................................................ 24  </w:t>
        <w:br/>
        <w:t xml:space="preserve">1. The Concept of Geographical Market Definition .................................................. 24  </w:t>
        <w:br/>
        <w:t xml:space="preserve">2. Previous Practice of the Federal Cartel Office and the European Commission .... 25  </w:t>
        <w:br/>
        <w:t xml:space="preserve">a. Decision-Making Practice of the Federal Cartel Office ..................................... 25  </w:t>
        <w:br/>
        <w:t xml:space="preserve">b. Decision-Making Practice of the European Commission ................................... 26  </w:t>
        <w:br/>
        <w:t xml:space="preserve">3. Presentation of the Procedural Participants on Geographical Market Definition ... 27  </w:t>
        <w:br/>
        <w:t xml:space="preserve">a. Presentation of the Merger Participants ............................................................ 27  </w:t>
        <w:br/>
        <w:t xml:space="preserve">b. Presentation of the Third Party .......................................................................... 28  </w:t>
        <w:br/>
        <w:t xml:space="preserve">4. Results of the Market Investigation ....................................................................... 29  </w:t>
        <w:br/>
        <w:t xml:space="preserve">a. No Cross-Border Activities of Competitors ...................................................... 29  </w:t>
        <w:br/>
        <w:t xml:space="preserve">b. No Nationwide Market for Cash Services .......................................................... 30  </w:t>
        <w:br/>
        <w:t xml:space="preserve">(1) Behavior of the Demanders ........................................................................... 30  </w:t>
        <w:br/>
        <w:t xml:space="preserve">(2) Geographical Reach of Providers of Cash Services .................................... 31  </w:t>
        <w:br/>
        <w:t xml:space="preserve">(3) Activity of Brokers Does Not Lead to a Nationwide Uniform  </w:t>
        <w:br/>
        <w:t xml:space="preserve">Price Level ............................................................................................................... 35  </w:t>
        <w:br/>
        <w:t xml:space="preserve">(4) Effects of the Bundesbank Strategy to Reduce the Number of its  </w:t>
        <w:br/>
        <w:t xml:space="preserve">Branches .................................................................................................................. 35  </w:t>
        <w:br/>
        <w:t xml:space="preserve">(5) Interim Results ............................................................................................... 36  </w:t>
        <w:br/>
        <w:t xml:space="preserve">c. Definition of Regional Markets for Cash Services ........................................... 36  </w:t>
        <w:br/>
        <w:t xml:space="preserve">D. Competition Law Assessment .................................................................................. 37  </w:t>
        <w:br/>
        <w:t xml:space="preserve">1. Restriction of the Behavioral Scope of the Participants After the  </w:t>
        <w:br/>
        <w:t xml:space="preserve">Merger Implementation .......................................................................................... 37  </w:t>
        <w:br/>
        <w:t xml:space="preserve">a. Convergence Between Ziemann and the Largest Competitors in the  </w:t>
        <w:br/>
        <w:t xml:space="preserve">Relevant Markets for Cash Services .................................................................... 38  </w:t>
        <w:br/>
        <w:t xml:space="preserve">b. Competitive Pressure from Prosegur Will Sufficiently Control the  </w:t>
        <w:br/>
        <w:t xml:space="preserve">Behavioral Scope of Ziemann Even in the Core Business Areas of the  </w:t>
        <w:br/>
        <w:t xml:space="preserve">Company .................................................................................................................. 39  </w:t>
        <w:br/>
        <w:t xml:space="preserve">2. The Markets Affected by the Merger in Detail .................................................... 40  </w:t>
        <w:br/>
        <w:t xml:space="preserve">a. Market Stuttgart .................................................................................................. 40  </w:t>
        <w:br/>
        <w:t xml:space="preserve">(1) Market Area and Market Volume ................................................................. 40  </w:t>
        <w:br/>
        <w:t xml:space="preserve">(2) Market Shares and Market Share Gaps ...................................................... 41  </w:t>
        <w:br/>
        <w:t xml:space="preserve">(3) Market Structure .......................................................................................... 42  </w:t>
        <w:br/>
        <w:t xml:space="preserve">(4) Alternative Market Consideration ................................................................. 43  </w:t>
        <w:br/>
        <w:t xml:space="preserve">b. Market Saarlouis (Saarland) ............................................................................... 44  </w:t>
        <w:br/>
        <w:t xml:space="preserve">c. Market Frankfurt .................................................................................................. 45  </w:t>
        <w:br/>
        <w:t xml:space="preserve">d. Market Lüneburg (Hamburg) ............................................................................... 48  </w:t>
        <w:br/>
        <w:t xml:space="preserve">VI. Summary Overall Assessment .................................................................................. 50  </w:t>
        <w:br/>
        <w:t xml:space="preserve">VII. Fees ............................................................................................................................ 51  </w:t>
        <w:br/>
        <w:t xml:space="preserve">VIII. Merger Notification .................................................................................................. 53  </w:t>
        <w:br/>
        <w:t>IX. Legal Remedies ........................................................................................................... 54</w:t>
      </w:r>
    </w:p>
    <w:p>
      <w:r>
        <w:t xml:space="preserve">57  </w:t>
        <w:br/>
        <w:t xml:space="preserve">List of Figures  </w:t>
        <w:br/>
        <w:t xml:space="preserve">Figure 1 - Cash Cycle ........................................................................................................ 13  </w:t>
        <w:br/>
        <w:t xml:space="preserve">Figure 2 - Areas of Activity of the Branches Operated by Ziemann ......................... 32  </w:t>
        <w:br/>
        <w:t xml:space="preserve">Figure 3 - Areas of Activity of the Branches Operated by Unicorn ......................... 32  </w:t>
        <w:br/>
        <w:t xml:space="preserve">Figure 4 - Areas of Activity of the Branches Operated by Prosegur ....................... 33  </w:t>
        <w:br/>
        <w:t xml:space="preserve">Figure 5 - Areas of Activity of the Branches Operated by Brink's ......................... 33  </w:t>
        <w:br/>
        <w:t xml:space="preserve">Figure 6 - Areas of Activity of the Branches Operated by Kötter ......................... 33  </w:t>
        <w:br/>
        <w:t xml:space="preserve">Figure 7 - Areas of Activity of the Branches Operated by Götz ............................ 34  </w:t>
        <w:br/>
        <w:t xml:space="preserve">Figure 8 - Areas of Activity of the Branches Operated by ITT ............................... 34  </w:t>
        <w:br/>
        <w:t xml:space="preserve">Figure 9 - Areas of Activity of the Branches Operated by WSN ............................ 34  </w:t>
        <w:br/>
        <w:t xml:space="preserve">Figure 10 - Areas of Activity of the Branches Operated by WSD-Security GmbH ... 34  </w:t>
        <w:br/>
        <w:t xml:space="preserve">Figure 11 - Areas of Activity of the Branches Operated by SVG AG (MST and TranSecurity) ........................................................................................................ 34  </w:t>
        <w:br/>
        <w:t xml:space="preserve">Figure 12 - Areas of Activity of the Branches Operated by GSB ............................ 34  </w:t>
        <w:br/>
        <w:t xml:space="preserve">Figure 13 - Area of Activity of the Branch Operated by GWS Magdeburg ............... 34  </w:t>
        <w:br/>
        <w:t xml:space="preserve">Figure 14 - Locations and Delivery Areas of the Branches of the Merger  </w:t>
        <w:br/>
        <w:t xml:space="preserve">Participants (Ziemann (light); Unicorn (dark)) .................................................. 36  </w:t>
        <w:br/>
        <w:t xml:space="preserve">Figure 15 - Market Area Stuttgart .................................................................................. 40  </w:t>
        <w:br/>
        <w:t xml:space="preserve">Figure 16 - Competitors in the Delivery Area of Unicorn in Saarlouis (Saarland) ... 44  </w:t>
        <w:br/>
        <w:t xml:space="preserve">Figure 17 - Competitors in the Delivery Area of Unicorn in Frankfurt a.M. ............ 45  </w:t>
        <w:br/>
        <w:t xml:space="preserve">Figure 18 - Market Lüneburg (Hamburg) ....................................................................... 48  </w:t>
        <w:br/>
        <w:t xml:space="preserve">List of Tables  </w:t>
        <w:br/>
        <w:t xml:space="preserve">Table 1 - Market Structure in the Market Stuttgart (based on data for the  </w:t>
        <w:br/>
        <w:t xml:space="preserve">year 2012) .................................................................................................................. 41  </w:t>
        <w:br/>
        <w:t xml:space="preserve">Table 2 - Competitive Situation in the Market in Frankfurt a.M. (based on data  </w:t>
        <w:br/>
        <w:t xml:space="preserve">for the year 2012) .................................................................................................. 46  </w:t>
        <w:br/>
        <w:t>Table 3 - Competitive Situation in the Market Lüneburg (Hamburg) ....................... 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