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https://www.bundeskartellamt.de/SharedDocs/Entscheidung/DE/Fallberichte/Fusionskontrolle/2016/B4-53-16.pdf;jsessionid=8C2CBDB1A68945AF30FEC6C0B437D1B1.1_cid378?__blob=publicationFile&amp;v=3</w:t>
      </w:r>
    </w:p>
    <w:p>
      <w:r>
        <w:t>Pages translated : 2</w:t>
      </w:r>
    </w:p>
    <w:p/>
    <w:p>
      <w:r>
        <w:rPr>
          <w:b/>
        </w:rPr>
        <w:t>[Pages 1–2]</w:t>
      </w:r>
    </w:p>
    <w:p>
      <w:r>
        <w:t xml:space="preserve">1  </w:t>
        <w:br/>
        <w:t xml:space="preserve">Case Report August 23, 2016  </w:t>
        <w:br/>
        <w:t xml:space="preserve">Approval of the Merger of Sparkassen Hildesheim and Goslar/Harz and Kreissparkasse Peine  </w:t>
        <w:br/>
        <w:t xml:space="preserve">Sector: Banking Industry  </w:t>
        <w:br/>
        <w:t xml:space="preserve">File Number: B4-53/16  </w:t>
        <w:br/>
        <w:t>Date of Decision: August 10, 2016</w:t>
      </w:r>
    </w:p>
    <w:p>
      <w:r>
        <w:t>The Federal Cartel Office has approved the merger between Sparkasse Hildesheim, Sparkasse Goslar/Harz, and Kreissparkasse Peine after intensive investigation and examination within the so-called first phase.</w:t>
      </w:r>
    </w:p>
    <w:p>
      <w:r>
        <w:t>The merger had to be notified to the Federal Cartel Office because the revenues from other entrepreneurial activities of the city and district of Hildesheim were attributable to Sparkasse Hildesheim, thereby reaching the revenue thresholds of German merger control.</w:t>
      </w:r>
    </w:p>
    <w:p>
      <w:r>
        <w:t>Several markets in the field of banking services were affected by the merger. In this context, the Federal Cartel Office distinguishes, in its constant administrative practice regarding market definition, initially between the retail banking and commercial banking sectors. The basis for this differentiation is the fact that the demand for banking services from these two customer groups differs both quantitatively and qualitatively, and the requirements on the supply side also vary accordingly. In particular, commercial customers pursue a different purpose when utilizing banking services (e.g., financing business operations and investments) than private customers (e.g., building/maintaining private real estate assets).</w:t>
      </w:r>
    </w:p>
    <w:p>
      <w:r>
        <w:t>Within each customer segment, the Federal Cartel Office further distinguishes in market definition between current accounts (payment transaction processing), deposits, and loans, with some further differentiation being made.</w:t>
      </w:r>
    </w:p>
    <w:p>
      <w:r>
        <w:t>In the retail banking markets, the Federal Cartel Office still assumes that internet distribution and online banking primarily serve a complementary, interchangeable function with branch business and are thus to be assigned to a uniform relevant market.</w:t>
      </w:r>
    </w:p>
    <w:p>
      <w:r>
        <w:t xml:space="preserve">2  </w:t>
        <w:br/>
        <w:t>Some of the markets affected by the merger are still regionally defined by the Federal Cartel Office – notwithstanding the fact that many credit institutions operate nationwide. This applies particularly to the market for private current accounts, but also to the credit markets for business customers, as the spatial proximity to "their" credit institution is particularly pronounced for the average reasonable consumer. For the assessment of the effects of the merger, the Federal Cartel Office initially considered the individual business areas of the participating Sparkassen. Alternatively, a larger market was considered that encompasses the entire area of the merging Sparkassen. To determine the market conditions, the Federal Cartel Office issued information requests to all credit institutions named or known to it by the parties that offer their services in the affected regions or in neighboring areas.</w:t>
      </w:r>
    </w:p>
    <w:p>
      <w:r>
        <w:t>The investigations revealed that the local Sparkassen hold high market shares in many markets within their own business area, some of which also exceed the threshold for the presumption of market dominance. However, the three Sparkassen involved in the merger do not actively compete with each other and cannot be regarded as potential competitors due to legal requirements. The Lower Saxony Sparkassen Act and the model statutes issued thereunder for Sparkassen in Lower Saxony stipulate that the business area of a Sparkasse regularly corresponds to the area of its sponsor. Furthermore, Sparkassen are generally prohibited from opening branches and advertising outside their business area. The investigations have shown that the participating Sparkassen adhere to this legally enshrined principle of regionality and do not operate any branches outside their statutorily defined business area. Therefore, practically no market share additions could be observed in the respective business areas of the participants.</w:t>
      </w:r>
    </w:p>
    <w:p>
      <w:r>
        <w:t>The market investigation also revealed that in the Hildesheim Goslar Peine area, particularly the local cooperative banks (Volksbanken and Raiffeisenbanken) are available as alternatives for both private customers and business customers for all banking transactions. The same applies to the credit institutions operating nationwide. It has also been shown that credit institutions without a branch in the affected area – primarily the cooperative banks, but also direct banks – are available as alternative options.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