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http://www.bundeskartellamt.de/SharedDocs/Entscheidung/DE/Fallberichte/Kartellverbot/2017/B4-56-15_B4-109-15.pdf;jsessionid=BC2C9541547A02567266072758C2C4B9.2_cid387?__blob=publicationFile&amp;v=4</w:t>
      </w:r>
    </w:p>
    <w:p>
      <w:r>
        <w:t>Pages translated : 2</w:t>
      </w:r>
    </w:p>
    <w:p/>
    <w:p>
      <w:r>
        <w:rPr>
          <w:b/>
        </w:rPr>
        <w:t>[Pages 1–2]</w:t>
      </w:r>
    </w:p>
    <w:p>
      <w:r>
        <w:t xml:space="preserve">Case Report January 16, 2017  </w:t>
        <w:br/>
        <w:t xml:space="preserve">Electronic Cash: Termination of the Reopening Procedure  </w:t>
        <w:br/>
        <w:t xml:space="preserve">Sector: Financial Services  </w:t>
        <w:br/>
        <w:t xml:space="preserve">File Numbers: B4 – 56/15, B4 – 109/15  </w:t>
        <w:br/>
        <w:t>Date of Decision: September 20, 2016</w:t>
      </w:r>
    </w:p>
    <w:p>
      <w:r>
        <w:t>On September 20, 2016, the leading associations of the credit industry withdrew their applications to reopen the electronic cash procedure, which had been concluded by decision on April 8, 2014. Thus, the reopening procedure is terminated (B4 - 109/15). At the same time, the Federal Cartel Office discontinued the review, which was re-initiated following the entry into force of the EU Regulation VO 2015/751 on interchange fees for card-based payment transactions ("EU Regulation"), regarding the implementation of the commitment undertakings.</w:t>
      </w:r>
    </w:p>
    <w:p>
      <w:r>
        <w:t>By decision of April 8, 2014, the Federal Cartel Office had made commitments binding, based on which, since November 1, 2014, only negotiated merchant fees are permissible in connection with the processing of payments using the Girocard ("EC card") (B4 - 9/111). Previously, the leading associations of the credit industry had only entered into price negotiations on a case-by-case basis for the merchant fees to be paid by card-accepting companies to the respective card-issuing institution. A review at the beginning of 2015 revealed that the commitments had been fully implemented and had the effects already described in the case report of March 30, 2015. In mid-2015, following the entry into force of the EU Regulation, a review of compliance with the commitment undertakings was initiated again (B4 - 56/15).</w:t>
      </w:r>
    </w:p>
    <w:p>
      <w:r>
        <w:t>The associations based their reopening application primarily on the argument that, due to the cap of 0.2% in the EU Regulation, they were now subject to "double regulation," which disadvantaged them compared to international card systems such as MasterCard or Visa.</w:t>
      </w:r>
    </w:p>
    <w:p>
      <w:r>
        <w:t>To what extent the application of German and European competition law to the electronic cash system may lead to a relevant disadvantage has not been conclusively clarified by the Federal Cartel Office.</w:t>
      </w:r>
    </w:p>
    <w:p>
      <w:r>
        <w:t>The findings obtained during the reopening procedure indicate a further increase in price dynamics since the introduction of negotiated fees. It is evident that the merchant fees in the first half of 2016 were, on average, about 10% below the cap of 0.2% and thus have fallen to about 60% of the level of 2013. From the perspective of the Federal Cartel Office, significant drivers of this development, in addition to the reduction of the fee level caused by the regulatory cap, are also the further development of the Electronic Direct Debit Procedure ("ELV") and the termination of the system of unilaterally set fees. The Federal Cartel Office has not determined the relative influence of the latter two factors.</w:t>
      </w:r>
    </w:p>
    <w:p>
      <w:r>
        <w:t>The Federal Cartel Office welcomes the opening of the electronic cash system to competition, as it is assumed that consumers will benefit from the price reduction. Against this background, the review of compliance with the commitment undertakings initiated in mid-2015 could also be discontinued in the meantime.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