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https://www.bundeskartellamt.de/SharedDocs/Entscheidung/DE/Fallberichte/Fusionskontrolle/2021/B4-60-20.pdf;jsessionid=CC5C7B56DD94CB8082EF9FB0DC6DE06D.1_cid390?__blob=publicationFile&amp;v=3</w:t>
      </w:r>
    </w:p>
    <w:p>
      <w:r>
        <w:t>Pages translated : 4</w:t>
      </w:r>
    </w:p>
    <w:p/>
    <w:p>
      <w:r>
        <w:rPr>
          <w:b/>
        </w:rPr>
        <w:t>[Pages 1–3]</w:t>
      </w:r>
    </w:p>
    <w:p>
      <w:r>
        <w:t xml:space="preserve">Case Report January 6, 2021  </w:t>
        <w:br/>
        <w:t xml:space="preserve">Approval of the Acquisition of A.T.U by Carglass  </w:t>
        <w:br/>
        <w:t xml:space="preserve">Industry: Repair and Replacement of Vehicle Glass  </w:t>
        <w:br/>
        <w:t xml:space="preserve">File Number: B4-60/20  </w:t>
        <w:br/>
        <w:t>Date of Decision: December 17, 2020</w:t>
      </w:r>
    </w:p>
    <w:p>
      <w:r>
        <w:t>The Federal Cartel Office has approved the acquisition of the glass business of A.T.U Auto-Teile Unger GmbH ('ATU') by Belron GmbH ('Belron'), the parent company of Carglass GmbH ('Carglass'), after an in-depth examination in the main review procedure; the acquisition particularly includes the insurance and large customer business.</w:t>
      </w:r>
    </w:p>
    <w:p>
      <w:r>
        <w:t>The merger project concerns the area of "repair and replacement of vehicle glass for passenger cars and light commercial vehicles." The parties are current competitors in the affected market. Carglass is the largest vehicle glass specialist in Germany with around 350 of its own service centers, some of which are associated with mobile units. Since the acquisition in 2015, Carglass has also included the Junited Autoglas network, which comprises around 300 franchise operations. For ATU, which also has a comprehensive branch network with around 500 branches, the glass business represents one of many service and maintenance services offered for motor vehicles.</w:t>
      </w:r>
    </w:p>
    <w:p>
      <w:r>
        <w:t>The aim of the project between the parties is the complete transfer of ATU's market position to Carglass. After the completion of the merger, ATU will withdraw from the business of repairing and replacing vehicle glass. ATU's glass business includes both so-called directed customers and so-called undirected customers. The directed customers include commercial large customers from the leasing, fleet, and rental car business ('LFR customers'), who generally have nationwide or regional framework agreements with ATU. On the other hand, there are policyholders who are actively directed to ATU by their comprehensive insurance, particularly within the framework of workshop binding policies.</w:t>
      </w:r>
    </w:p>
    <w:p>
      <w:r>
        <w:t>In contrast to the directed customers, the undirected customers can freely choose the repair shop in the event of glass damage, regardless of their insurance status. For ATU, the drive-in business, i.e., the regularly returning customers for tire, maintenance, or inspection services, plays a special role concerning these undirected customers, as glass damage is often first discovered during these workshop visits at ATU.</w:t>
      </w:r>
    </w:p>
    <w:p>
      <w:r>
        <w:t>The merger project consists of a purchase agreement that regulates the transition of the directed business through Carglass entering into existing contracts with LFR customers and insurers. The ancillary provisions include, among other things, a three-year non-competition clause. Additionally, the parties intended to conclude a long-term cooperation agreement that regulates further collaboration regarding the undirected business, particularly the drive-in business.</w:t>
      </w:r>
    </w:p>
    <w:p>
      <w:r>
        <w:t>The overall project of the parties thus had, at the time of the notification, concentrated aspects regarding the directed glass business, while primarily cooperative aspects were present regarding the undirected glass business, and was therefore to be examined both under merger control and antitrust law.</w:t>
      </w:r>
    </w:p>
    <w:p>
      <w:r>
        <w:t>As a result, the undirected glass business of ATU, whose potential is particularly linked to ATU's core business in the areas of tires, maintenance, and inspection, is not transferable as an asset or as part of a separable business area, and is therefore not subject to merger control. It is neither dependent on a transferable tangible asset nor on a transferable intangible asset (in particular, no customer data is transferred to the acquirer). Furthermore, ATU remains active in finding glass damage after the completion of the merger as an exiting seller from the market and directs customers to the acquirer Carglass. Thus, this is not only a structural change in the market that would be completed with the execution of the merger project, but also a market change that is based on a sustained behavioral coordination of the parties - this, however, is not subject to merger control.</w:t>
      </w:r>
    </w:p>
    <w:p>
      <w:r>
        <w:t>In the course of market investigations, the Federal Cartel Office collected extensive information from competitors, vehicle manufacturers, glass manufacturers, large customers, and all motor vehicle insurers that are members of the Gesamtverband der deutschen Versicherungswirtschaft (GDV). The information and data on glass damage cases, cooperation partners, and other market conditions were used to analyze the market position of the parties.</w:t>
      </w:r>
    </w:p>
    <w:p>
      <w:r>
        <w:t>Regarding the relevant market definition, the Federal Cartel Office assumes a market for the repair and replacement of vehicle glass for passenger cars and vehicles up to 3.5 tons.</w:t>
      </w:r>
    </w:p>
    <w:p>
      <w:r>
        <w:t>The repair and replacement of vehicle glass constitute a single market, as it is generally not apparent to the customer whether a glass damage is repairable or if the replacement of the pane is necessary. Furthermore, all major providers offer both the repair and replacement of a vehicle pane, which is why, from the end customer's perspective, no differentiation is made between the two areas when choosing the repair company (see also the case report dated September 30, 2015, regarding the acquisition of Junited AUTOGLAS by Carglass). However, for the repair and replacement of vehicle glass in trucks over 3.5 tons and buses, the competitive conditions differ from those for vehicles up to 3.5 tons. In the case of glass repair for buses, as well as for large trucks, a time-critical repair on-site is requested, and here a few specialized "independent" providers operate as "niche providers" with mobile units nationwide, who otherwise do not compete with the parties or the main competitors. Furthermore, the manufacturers of these vehicles, i.e., the brand-affiliated workshops of truck and bus manufacturers, have a significantly higher market share in this market than the few independent workshops. Additionally, handling vehicles over 3.5 tons is considerably more complicated, and therefore, in the conclusion of many framework agreements with insurers, a distinction is made between vehicles up to 3.5 tons and those over 3.5 tons.</w:t>
      </w:r>
    </w:p>
    <w:p>
      <w:r>
        <w:t>In spatial terms, the Federal Cartel Office has particularly limited its assessment to the nationwide market conditions due to the significant importance of nationwide framework agreements, which cover about 90 percent of the market. The investigations have shown that the glass damages processed through comprehensive insurance cover about 76 percent of the relevant market here and that about 88 percent of the insurers (generally nationwide) enter into framework agreements with providers for the repair and replacement of vehicle glass. Since the insured end consumer is not very price-sensitive, many insurers have an interest in concluding framework agreements with one or more providers of glass repair services to reduce their damage amounts, but also to reduce the costs of damage processing. In these agreements, various conditions (hourly billing rates, replacement part prices, volumes, quality specifications) as well as service provisions are stipulated, and in some cases, a direct steering of customers by the insurance is agreed upon. There are no regional differences, for example, in the hourly billing rates to be used. An estimated additional approximately 14 percent of nationwide damages occur with LFR customers, who independently conclude regional or nationwide contracts with one or more providers of glass repair services for the rectification of glass damage to their vehicles, regardless of the insurers. Furthermore, a nationwide market definition also seems plausible in light of the fact that in this case, practically only the nationwide operating competitors of Carglass and ATU would be able to effectively limit any behavioral leeway of the parties after the merger.</w:t>
      </w:r>
    </w:p>
    <w:p>
      <w:r>
        <w:rPr>
          <w:b/>
        </w:rPr>
        <w:t>[Pages 4–4]</w:t>
      </w:r>
    </w:p>
    <w:p>
      <w:r>
        <w:t>The examination of the transfer of the directed glass business from ATU to Carglass, which falls within the scope of merger control, does not suggest that this merger would significantly impede effective competition or establish or strengthen a dominant position for Carglass. Possible behavioral leeways for Carglass are sufficiently controlled here by the competition from glass specialists in the area of the directed business. With a combined market share of [25-30] percent, the parties do not reach the presumption threshold of individual market dominance under § 18 Abs. 4 GWB; moreover, the increase in market share is only slight.</w:t>
      </w:r>
    </w:p>
    <w:p>
      <w:r>
        <w:t>The parties have significantly restricted the content of the cooperation agreement regarding the collaboration in the context of the undirected business during the proceedings and after discussions with the decision-making department, both in terms of content and duration. The duration of the collaboration, which was originally planned for five to ten years, has been limited to a total of three years. Furthermore, the initially planned training of ATU employees by Carglass, the mutual recommendation and "booking" of customers with the other party via a joint IT interface, as well as nationwide joint advertising measures have been removed from the draft contract. Additionally, the initial plan to station Carglass employees as mobile units on-site or with a workplace directly in the branch for [100-150] ATU branches has been limited to a maximum of [30] branches.</w:t>
      </w:r>
    </w:p>
    <w:p>
      <w:r>
        <w:t>The examination of the cooperation now agreed upon in the cooperation agreement for only three years between Carglass and ATU for the transition of undirected glass customers under Art. 101 Abs. 1 AEUV or § 1 GWB could ultimately be discontinued due to the described temporal and content-related restrictions imposed by the parties.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