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https://www.bundeskartellamt.de/SharedDocs/Entscheidung/DE/Fallberichte/Fusionskontrolle/2021/B4-72-21.pdf;jsessionid=B8ACDED1D522B6F0A86B0A3FF0B06795.1_cid362?__blob=publicationFile&amp;v=1</w:t>
      </w:r>
    </w:p>
    <w:p>
      <w:r>
        <w:t>Pages translated : 4</w:t>
      </w:r>
    </w:p>
    <w:p/>
    <w:p>
      <w:r>
        <w:rPr>
          <w:b/>
        </w:rPr>
        <w:t>[Pages 1–3]</w:t>
      </w:r>
    </w:p>
    <w:p>
      <w:r>
        <w:t xml:space="preserve">Case Report January 17, 2022  </w:t>
        <w:br/>
        <w:t xml:space="preserve">Withdrawal of a Merger Notification in the Field of Oil Cooler Manufacturing  </w:t>
        <w:br/>
        <w:t xml:space="preserve">Industry: Manufacturing of Automotive Components  </w:t>
        <w:br/>
        <w:t xml:space="preserve">File Number: B4-72/21  </w:t>
        <w:br/>
        <w:t>Date of Withdrawal: October 25, 2021</w:t>
      </w:r>
    </w:p>
    <w:p>
      <w:r>
        <w:t>The Federal Cartel Office examined the project of Dana Inc. (Maumee, Ohio/USA) to acquire the business segment "Thermal Systems for Passenger Cars and Light Commercial Vehicles" of Modine Manufacturing Company (Racine, Wisconsin/USA) in the field of automotive components during two consecutive main examination procedures in 2021. The project raised issues particularly in the area of engine and transmission oil coolers for passenger cars and light commercial vehicles in Europe.</w:t>
      </w:r>
    </w:p>
    <w:p>
      <w:r>
        <w:t>The parties initially notified the project on December 21, 2020. After the Federal Cartel Office expressed its competitive concerns to the parties in a letter dated April 23, 2021, the parties initially withdrew their notification. Subsequently, the project was re-notified in modified form on June 29, 2021; Modine planned to remain active in the market with a plant in Italy (Pontevico) and some additional assets, while the remaining business segment of thermal systems was to be sold to Dana.</w:t>
      </w:r>
    </w:p>
    <w:p>
      <w:r>
        <w:t>After the decision-making department conducted extensive investigations, particularly regarding the competitive significance and sustainability of the retained business during the renewed main examination procedure, the merger parties ultimately decided at the end of October 2021 to abandon their project. At the time of the withdrawal, it was still unclear whether the merger project, even in its modified form, would have led to competitive problems.</w:t>
      </w:r>
    </w:p>
    <w:p>
      <w:r>
        <w:t>Dana Inc. (Maumee, Ohio/USA) is a US company that operates worldwide and offers solutions for power transmission and energy management for vehicles and machinery, including the relevant products in the field of thermal systems for passenger cars and light commercial vehicles.</w:t>
      </w:r>
    </w:p>
    <w:p>
      <w:r>
        <w:t>Modine Manufacturing Company (Racine, Wisconsin/USA) produces and distributes thermal systems for vehicles worldwide, in addition to various industrial applications. The company had already decided in 2019 to sell the business segment of thermal systems for passenger cars and light commercial vehicles, as this segment was no longer considered strategically important.</w:t>
      </w:r>
    </w:p>
    <w:p>
      <w:r>
        <w:t>The Federal Cartel Office defined a market for liquid-cooled oil coolers for passenger cars and light commercial vehicles, which extends across the entire EEA, as the relevant market. The merger project only affected the so-called OEM/OES market (Original Equipment Manufacturer/Original Equipment Supplier market), as the merger parties do not sell their oil coolers in the independent parts market (so-called IAM, Independent After Market).</w:t>
      </w:r>
    </w:p>
    <w:p>
      <w:r>
        <w:t>Oil coolers serve to lower the temperature of the oil in an engine (engine oil cooler) or in a transmission (transmission oil cooler). Depending on whether the dissipated heat is released directly to the air or (initially) to a water-based liquid, air-cooled and liquid-cooled oil coolers are distinguished. Oil coolers are sold both as stand-alone products to automobile manufacturers and as assemblies with other components such as oil filters (so-called modules) or transmissions. The activities of the market participants exhibit very different structures. In addition to pure oil cooler manufacturers like the merger parties, there are Tier-1 suppliers that manufacture modules and operate in-house production of oil coolers as a precursor product (integrated module manufacturers) as well as module manufacturers without their own oil cooler production. Additionally, there is also an automobile manufacturer, VW, that produces oil coolers internally. The decision-making department surveyed all manufacturers of oil coolers during its investigations and determined their market position. However, only the sales through the market were included in the market volume; internally reused products were considered as marginal substitution.</w:t>
      </w:r>
    </w:p>
    <w:p>
      <w:r>
        <w:t>The project of the merger parties would have led to market shares of [60-70]% in its original form. Even when including the internal sales of module manufacturers with in-house production, the market shares would not have changed substantially; they would still have been at [60-70]%. This market position could not have been compensated by the bargaining power of automobile manufacturers or by marginal substitution, according to the preliminary assessment of the decision-making department. This is even more true against the backdrop that an important group of demanders – module manufacturers without their own oil cooler production like Mann + Hummel, Hengst, and Sogefi – do not possess comparable bargaining power as the group of automobile manufacturers. For this group of demanders, primarily non-integrated manufacturers of oil coolers are considered as suppliers, while integrated module manufacturers like Mahle or UFI, due to the competitive relationship at the downstream level (modules), are only considered with significant limitations. As suppliers for module manufacturers without their own oil cooler production, essentially the parties involved in the merger were available, while the automobile manufacturers could additionally rely on Mahle and UFI with their in-house production. Beyond that, only smaller suppliers (including Chinese manufacturers) were active in the market. Investigations have shown that Chinese suppliers do not yet represent a complete alternative in the EEA, as there are still deficits in the development area, and the cost advantage, considering transport costs and tariffs, was relatively small.</w:t>
      </w:r>
    </w:p>
    <w:p>
      <w:r>
        <w:t>The products of the merger parties are significantly affected by the technological change in the automotive industry. The transition from combustion engine technology to e-mobility means that automobile manufacturers will develop only a few new engines and transmissions in the coming years. Instead, existing series productions in the combustion engine area are likely to be extended and slightly improved. Since existing suppliers of oil coolers have a substantial competitive advantage due to high one-time costs in such contract extensions, the market dynamics are very limited, making a timely erosion of the market position of the parties difficult. A short-term end to the demand for oil coolers was not expected on the one hand due to the long timeframes in the transition to e-mobility, and on the other hand, the products of the parties are also required in modified form for electric cars. Batteries also require heat exchangers (so-called "chillers"), and transmissions and motors in electric vehicles must also be cooled to some extent. Even though the development of the future market volume is difficult to predict, this is not a "dying" market, but rather products that are subject to extensive technological change and must be further developed for the next product generation.</w:t>
      </w:r>
    </w:p>
    <w:p>
      <w:r>
        <w:t>The reduced scope of the merger project examined in the second procedure, in which primarily the plant in Pontevico (Italy) was to be continued by Modine, would still have led to market shares of [40-50]% for Dana. A central role in</w:t>
      </w:r>
    </w:p>
    <w:p>
      <w:r>
        <w:rPr>
          <w:b/>
        </w:rPr>
        <w:t>[Pages 4–4]</w:t>
      </w:r>
    </w:p>
    <w:p>
      <w:r>
        <w:t>The competitive assessment of the modified merger project was significantly influenced by Modine's plans to continue the oil cooler business as a residual business. In the first review procedure, the company had argued that it wanted to exit the automotive sector entirely. Therefore, the question of what competitive significance could be attributed to a residual business area "oil coolers" continued by Modine was of crucial importance. This determined whether Modine's residual business could be regarded as a full-fledged competitor in the context of the prospective competitive assessment. The investigations of the decision-making department regarding this issue had not yet been completed at the time of the withdrawal.</w:t>
      </w:r>
    </w:p>
    <w:p>
      <w:r>
        <w:t>The new configuration of the merger project chosen by the parties involved has raised additional complex questions that go beyond the review program of a divestiture commitment. On the one hand, the decision-making department had to examine the intention to continue the business area. On the other hand, it had to investigate the extent to which the possibility of coordination between the divested and the retained part of the company could have arisen; such coordination would be facilitated by existing precise knowledge of the technological capabilities, cost structures, and calculation methodologies of the remaining competitive parts of the company. The determination of the necessary facts to assess this situation was in addition to the usual examination of market effects ("market test") within the framework of a commitment solution and further expanded the procedure.</w:t>
      </w:r>
    </w:p>
    <w:p>
      <w:r>
        <w:t>During the merger procedure, the suspension of deadlines introduced by the 8th Amendment to the GWB was also utilized in accordance with § 40 Abs. 2 S. 2 GWB, as information requested in a decision pursuant to § 59 GWB was not answered in a timely or complete manner. The suspension extended the review period by several 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