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http://www.bundeskartellamt.de/SharedDocs/Entscheidung/DE/Fallberichte/Fusionskontrolle/2016/B4-74-15.pdf;jsessionid=10DB080463640E8B092FF4B536807FF3.1_cid362?__blob=publicationFile&amp;v=2</w:t>
      </w:r>
    </w:p>
    <w:p>
      <w:r>
        <w:t>Pages translated : 3</w:t>
      </w:r>
    </w:p>
    <w:p/>
    <w:p>
      <w:r>
        <w:rPr>
          <w:b/>
        </w:rPr>
        <w:t>[Pages 1–3]</w:t>
      </w:r>
    </w:p>
    <w:p>
      <w:r>
        <w:t>1</w:t>
        <w:br/>
        <w:t>Case Report 30.06.2016</w:t>
        <w:br/>
        <w:t>Examination of a Merger of Back-Office Service Providers of the Sparkassen-Finanzgruppe</w:t>
        <w:br/>
        <w:t>Industry: Financial Services</w:t>
        <w:br/>
        <w:t>File Number: B4-74/15</w:t>
        <w:br/>
        <w:t>Date of Decision: ----</w:t>
        <w:br/>
        <w:t>The Federal Cartel Office has conducted an in-depth examination of the merger between DSGF Deutsche Servicegesellschaft für Finanzdienstleister mbH ("DSGF") and Sparkassen-Marktservice GmbH ("SMS") in the main review procedure pursuant to § 40 paragraph 1 GWB. The parties withdrew their notification after the project had been warned, as it preliminarily appeared to the Federal Cartel Office that the conditions for prohibition under § 36 paragraph 1 GWB were met, and the Federal Cartel Office had also signaled, after a statement from the parties, that it would prohibit the merger.</w:t>
        <w:br/>
        <w:t>The parties had proactively notified last year of their intention to merge SMS into DSGF, but disputed the obligation to notify the project. The shareholders of DSGF are the Beteiligungsgesellschaft für Sparkassendienstleistungen Ost mbH &amp; Co., Sparkassen Dienstleistung Rheinland GmbH &amp; Co. KG, and IZB SOFT Verwaltungs-GmbH &amp; Co. KG, each holding 30% of the shares in DSGF, as well as WeLi S AG with a share of 2.5%. The investigations have convinced the Office that DSGF is effectively jointly controlled by at least three of its shareholders, as they pursue common business policy strategies. The thresholds for merger control were thus reached due to the inclusion of the revenues of the parent companies.</w:t>
        <w:br/>
        <w:t>With the project, DSGF and SMS aimed to consolidate their "back-office services" for credit institutions. Back-office services for credit institutions encompass very different areas, including the processing of loans ("Market Follow-Up Active"), services related to account management and deposit business ("Market Follow-Up Passive"), the processing of payment transactions, and services related to the securities business. Competitive concerns regarding overlaps in the activities of the parties involved arose solely in the area of processing paper-based payment transactions. Substantively, the market is limited to the processing of documents on the so-called BZV system of Finanzinformatik ("FI"), the central IT service provider of the Sparkassen-Finanzgruppe, because this application is firmly integrated into the overall banking solution used by all savings banks, and the savings banks must bear the costs for this in any case. According to the results of the extensive market investigation, savings banks primarily obtain services in this area from providers within the Sparkassen-Finanzgruppe. A significant reason for this is that the corresponding services must be compatible with the IT system uniformly used by all savings banks, the core banking system "OSPlus" of FI. In addition to the integration into the IT system, the familiarity of the providers belonging to the Sparkassen-Finanzgruppe with the process organization in savings banks leads to savings banks primarily relying on these providers. Furthermore, the regional associations of savings banks and the German Savings Banks and Giro Association actively accompany outsourcing processes of savings banks and promote them, for example, by developing corresponding standards. Providers from other institutional groups, such as cooperative banks, rarely offer back-office services in the area of paper-based payment transactions for institutions not belonging to their institutional group, especially if these third-party institutions use the same core banking system. The scope of services provided to institutions from other institutional groups is therefore marginal.</w:t>
        <w:br/>
        <w:t>Geographically, the market is to be delineated nationwide in Germany. Back-office services for the processing of paper-based payment transactions are offered and demanded nationwide. The market investigation has shown that the geographical proximity of the provider of the corresponding services to its customers plays only a subordinate role. To the extent that documents need to be processed, they are partially digitized on-site to enable the relevant processes to be processed independently of location. Nevertheless, providers from abroad play no role, as the regulatory costs associated with commissioning a service provider based abroad are considered too high by the savings banks.</w:t>
        <w:br/>
        <w:t>The back-office providers of the Sparkassen-Finanzgruppe have mostly emerged from the outsourcing of the corresponding specialist departments from the organization of individual savings banks and their transfer to legally independent companies, whose shares initially remain fully with the respective savings bank and which provide back-office services primarily for their respective parent companies. A significant portion of back-office services is still provided as internal company services by subsidiaries associated with the respective savings bank. However, in recent years, there has been an increasing number of mergers among these providers, who are increasingly acting as service providers beyond their original parent company for third savings banks.</w:t>
        <w:br/>
        <w:t>As a result, a significant hindrance to effective competition was to be found for the market of processing paper-based payment transactions, particularly the strengthening of a dominant market position due to the merger.</w:t>
        <w:br/>
        <w:t>The investigations have shown that DSGF already has a dominant market position in the market limited to Germany for the processing of payment transaction documents for savings banks. This would have been further strengthened by the merger. DSGF already has very high market shares of at least 60-70% before the merger with SMS. By acquiring SMS, this share would increase by another 10-20%. No competitive pressure is to be expected from the remaining providers, and the demanders have no means to sufficiently control the behavioral scope of the parties after the merger.</w:t>
        <w:br/>
        <w:t>In this context, the merger would have had to be prohibited if the parties had not withdrawn the notification. The statutory prohibition of execution under § 41 paragraph 1 GWB continues to apply, as it is a notifiable merger.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