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https://www.bundeskartellamt.de/SharedDocs/Entscheidung/DE/Fallberichte/Kartellverbot/2014/B4-9-11.pdf;jsessionid=0F1D9FB15D6BF47544A6864861D881C5.1_cid387?__blob=publicationFile&amp;v=2</w:t>
      </w:r>
    </w:p>
    <w:p>
      <w:r>
        <w:t>Pages translated : 4</w:t>
      </w:r>
    </w:p>
    <w:p/>
    <w:p>
      <w:r>
        <w:rPr>
          <w:b/>
        </w:rPr>
        <w:t>[Pages 1–3]</w:t>
      </w:r>
    </w:p>
    <w:p>
      <w:r>
        <w:t>1</w:t>
        <w:br/>
        <w:t>Case Report April 30, 2014</w:t>
        <w:br/>
        <w:t>Uniform Merchant Fees for electronic cash Card Payments Abolished</w:t>
        <w:br/>
        <w:t>Industry: Financial Services</w:t>
        <w:br/>
        <w:t>File Number: B 4 – 9/11</w:t>
        <w:br/>
        <w:t>Date of Decision: April 8, 2014</w:t>
        <w:br/>
        <w:t>The Federal Cartel Office declared commitments binding on April 8, 2014, pursuant to § 32 b GWB, whereby the parties commit to abolishing the uniform merchant fee in the electronic cash card payment system and to only settle freely negotiated fees in the future.</w:t>
      </w:r>
    </w:p>
    <w:p>
      <w:r>
        <w:t>The electronic cash system operated by four leading associations of the banking industry1 enables cashless payments at the checkouts of participating merchants using the girocard (formerly: EC card), a debit card that directly debits the account of the cardholder. With a transaction volume of EUR 128 billion (2012), electronic cash is the leading card payment system in the German market. In the electronic cash system, the respective card-issuing institution provides a payment guarantee to the merchant for the respective sales amount, provided that this has been properly confirmed ("authorized") after checking, in particular, the cardholder's available limit. For this, merchants currently pay a uniformly set fee of 0.3% of the transaction volume, with a minimum of EUR 0.08. A reduced rate applies to transactions at gas stations.</w:t>
      </w:r>
    </w:p>
    <w:p>
      <w:r>
        <w:t>In addition, the Electronic Direct Debit Procedure ("ELV") is frequently used for cashless payments at checkouts. In this case, the account number and bank code stored on the girocard of the cardholder are used to generate a direct debit. With their signature, the cardholder authorizes the merchant to collect the payment amount and simultaneously instructs their account-holding bank to debit their account. No check of the available limit is performed by the account-holding bank. Instead, transaction-related verification mechanisms, such as querying block lists, are frequently used to minimize the probability of direct debit defaults. In particular, network operators offer merchants corresponding services, which can also include the complete assumption of default risk. Due to the SEPA process, a change in direct debit formats is required, and the ELV in its current format will only exist for a transitional period until February 1, 2016. However, the ELV is currently being further developed to enable its continuation even after the complete transition to SEPA formats.</w:t>
      </w:r>
    </w:p>
    <w:p>
      <w:r>
        <w:t>Due to the competitive pressure exerted by the ELV, the uniform merchant fee in the electronic cash system has increasingly come under pressure. In particular, larger merchants have responded to this by granting discounts. However, for nearly half of all transactions, especially with weaker-performing merchants, the uniform merchant fee must still be paid in full without subsequent refunds.</w:t>
      </w:r>
    </w:p>
    <w:p>
      <w:r>
        <w:t>The antitrust examination was based on a nationwide market for the acceptance of payments with the girocard. In this market, card-accepting merchants inquire about authorization and guarantee services from the electronic cash or ELV providers. Essentially, the customer decides on the choice of payment method. In any case, with a widely used payment method like the girocard, the merchant can only very limitedly prompt the customer to choose another payment method, such as cash. As an alternative to electronic cash, the merchant therefore practically has only the ELV for payments with the girocard, as the differences in the process - signature instead of entering a PIN - are usually not relevant from the cardholder's perspective.</w:t>
      </w:r>
    </w:p>
    <w:p>
      <w:r>
        <w:t>Not to be included in the market are the debit card products of international card payment systems such as Maestro from MasterCard and V PAY from Visa, with which the girocard is regularly co-badged. Originally, co-badging was intended to make the girocard usable abroad. For domestic use, these systems still have only marginal significance. From the merchant's perspective, these systems are not an alternative, as they are still bound to the choice of payment system made by the issuer of the girocard, as long as they accept electronic cash at their checkouts.</w:t>
      </w:r>
    </w:p>
    <w:p>
      <w:r>
        <w:t>According to the preliminary assessment of the Federal Cartel Office, the uniform merchant fee aims to restrict competition, particularly against ELV. By agreeing on a uniform merchant fee, the parties replace the independent definition of a pricing strategy towards the main competitive product ELV with a joint price setting.</w:t>
      </w:r>
    </w:p>
    <w:p>
      <w:r>
        <w:t>The uniform merchant fee is, according to preliminary assessment, also not objectively necessary as a standard procedure for processing electronic cash transactions to protect system participants from being subjected to the price setting of the respective other market side. In this respect, a prohibition of subsequent price setting in the absence of a fee agreement suffices as a less competition-restrictive rule. Also, with regard to the revenues of the card-issuing institutions, a uniform merchant fee is not objectively necessary. Already due to the advantages associated with a card payment system for the card-issuing institutions, such as the reduction of cash handling, it is not expected that the functionality of the system would be called into question even if revenues from the merchant fee were to be eliminated. Furthermore, it is expected that even with the abolition of the uniform merchant fee, merchant fees can still be settled based on bilateral agreements.</w:t>
      </w:r>
    </w:p>
    <w:p>
      <w:r>
        <w:t>The initial proposals submitted by the parties to eliminate the competition restriction were not suitable to dispel the antitrust concerns. In particular, the proposal to retain the previous uniform merchant fee as a basic calculation value, to which individually agreed refunds would then be paid, would not have led to any significant change compared to the previous situation and would not have accelerated the previously sluggish process of price negotiations, especially in the segment of weaker-performing merchants. Also, the associated proposal to suggest a fee to the merchant at the moment of the payment process at the checkout in the absence of a fee agreement would, according to the results of the market test, not have been practicable and would have left the merchant with no relevant room for negotiation.</w:t>
      </w:r>
    </w:p>
    <w:p>
      <w:r>
        <w:t>Through the commitment now entered into by the parties to abolish the uniform merchant fee and to settle exclusively negotiated merchant fees, the conditions for (price) competition are created. The card-issuing institutions are thus compelled to enter into price negotiations even for the market segments where they have previously been able to accept the uniform merchant fee in full without price concessions. According to the current assessment, both market sides also have reaction options to limit the pricing scope of the opposing market side. In particular, competitive pressure on the merchant fee in the electronic cash system is exerted by the ELV. To the extent that card-issuing institutions or merchants, due to their...</w:t>
      </w:r>
    </w:p>
    <w:p>
      <w:r>
        <w:rPr>
          <w:b/>
        </w:rPr>
        <w:t>[Pages 4–4]</w:t>
      </w:r>
    </w:p>
    <w:p>
      <w:r>
        <w:t>4</w:t>
        <w:br/>
        <w:t>If card-issuing institutions or merchants are unable to engage in independent price negotiations due to their size, they can rely on third parties, such as network operators or other market participants, to agree on fees.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