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https://www.bundeskartellamt.de/SharedDocs/Entscheidung/DE/Fallberichte/Kartellverbot/2018/B5-1-18-01.pdf;jsessionid=ABD541495522D63C5B79D034528711CD.2_cid508?__blob=publicationFile&amp;v=4</w:t>
      </w:r>
    </w:p>
    <w:p>
      <w:r>
        <w:t>Pages translated : 3</w:t>
      </w:r>
    </w:p>
    <w:p/>
    <w:p>
      <w:r>
        <w:rPr>
          <w:b/>
        </w:rPr>
        <w:t>[Pages 1–3]</w:t>
      </w:r>
    </w:p>
    <w:p>
      <w:r>
        <w:t>1</w:t>
        <w:br/>
        <w:t>Case Report March 27, 2018</w:t>
        <w:br/>
        <w:t>Establishment of an electronic trading platform for steel products (XOM Metals GmbH)</w:t>
        <w:br/>
        <w:t>Industry: Trade in steel products</w:t>
        <w:br/>
        <w:t>File number: B5-1/18-001</w:t>
        <w:br/>
        <w:t>Date of decision: February 27, 2018</w:t>
      </w:r>
    </w:p>
    <w:p>
      <w:r>
        <w:t>I. Cooperations in machinery and plant engineering as well as the metal industry</w:t>
      </w:r>
    </w:p>
    <w:p>
      <w:r>
        <w:t>The Federal Cartel Office is increasingly receiving inquiries from the machinery and plant engineering and metal industries regarding the formation of cooperations between industrial companies or between industrial companies and their customers or suppliers. The focus of these cooperation projects is often on platform models for improved digital networking of market participants (Internet of Things). This can affect the business-to-business sector in the relevant markets as well as the creation of automated processes in procurement from suppliers or in sales to customers.</w:t>
      </w:r>
    </w:p>
    <w:p>
      <w:r>
        <w:t>The Federal Cartel Office generally views efficiency-enhancing cooperations aimed at improved and cost-effective products and production processes in these industries positively. It is also willing to develop criteria for a competition law-compliant design of the respective cooperation together with the cooperation partners, provided that these are sufficiently specified. The basis for this examination are the German and European competition law regulations, which – also in the form of block exemption regulations – provide a wide range of exemption possibilities to protect innovation- and efficiency-promoting cooperations. This examination must be market-related, as the competitive structures and processes may vary depending on the product and cooperation objective.</w:t>
      </w:r>
    </w:p>
    <w:p>
      <w:r>
        <w:t>2</w:t>
        <w:br/>
        <w:t>In its examination, the Federal Cartel Office must ensure that the cooperation in question does not involve excessive agreements and concerted practices that sustainably restrict competition to the detriment of open markets and consumers. Should the cooperation subsequently be used for anti-competitive agreements or arrangements such as price-fixing or customer allocation beyond the agreements examined, the cartel authorities are, of course, not prevented from initiating cartel administrative offense proceedings if necessary.</w:t>
      </w:r>
    </w:p>
    <w:p>
      <w:r>
        <w:t>II. No objections to the planned trading platform</w:t>
      </w:r>
    </w:p>
    <w:p>
      <w:r>
        <w:t>The Federal Cartel Office has no objections to the Business-to-Business internet platform planned by Klöckner &amp; Co SE, Duisburg ("KSE") for the distribution of steel products. The internet trading platform is to be established and operated under the name of a 100% subsidiary of KSE, XOM Metals GmbH ("XOM").</w:t>
      </w:r>
    </w:p>
    <w:p>
      <w:r>
        <w:t>Steel manufacturers and steel traders are to act as providers. The providers are therefore at least partially companies that compete with KSE or companies of the Klöckner Group. KSE itself will be represented on the platform as a provider of steel products with two subsidiaries.</w:t>
      </w:r>
    </w:p>
    <w:p>
      <w:r>
        <w:t>The platform is intended to open access to digital sales channels for a larger number of smaller providers and customers and to facilitate the finding of suitable contractual partners. At the same time, an increase in efficiency in the ordering process is to be achieved. Orders will be possible regardless of the opening hours of the providers' sales outlets. Customers are also to have easy access to information on availability, delivery times, and delivery conditions, and benefit from a structured overview of the products offered and already ordered.</w:t>
      </w:r>
    </w:p>
    <w:p>
      <w:r>
        <w:t>In addition to possible positive effects, the Federal Cartel Office had to examine whether the increase in transparency associated with the operation of the platform could be harmful to competition in the steel trade. This would particularly apply if such a platform allowed for the exchange of information on competition-relevant parameters, both among the providers represented on the platform and between the platform operator and the rest of the Klöckner Group. It should be taken into account that the steel trade is already characterized by high transparency.</w:t>
      </w:r>
    </w:p>
    <w:p>
      <w:r>
        <w:t>To exclude coordination among providers via the platform, KSE has designed the platform in such a way that access by providers to data that would allow conclusions to be drawn about the competitive behavior of their competitors is excluded. For example, the platform has a technically secured, isolated provider area that is designed so that customer-specific data is only accessible to the respective provider/their customer, and not to other providers. Existing and new customers must also register before their first login. Identification is carried out, among other things, via the customers' VAT identification number.</w:t>
      </w:r>
    </w:p>
    <w:p>
      <w:r>
        <w:t>To address the risk of increased market transparency, KSE has also redesigned the platform so that neither specific prices nor availabilities are displayed for existing and new customers on the platform itself outside the login area.</w:t>
      </w:r>
    </w:p>
    <w:p>
      <w:r>
        <w:t>Finally, KSE has implemented a whole bundle of measures that are intended to ensure that the platform is sufficiently separated from its parent company so that there is no anti-competitive exchange of information or influence by Klöckner. For this purpose, the platform has been organizationally, structurally, and personnel-wise separated from KSE and its subsidiaries. In addition, Klöckner has taken a number of measures to ensure that anti-competitive information exchange is not possible even through corporate law-mediated rights to information under GmbHG.</w:t>
      </w:r>
    </w:p>
    <w:p>
      <w:r>
        <w:t>The Federal Cartel Office assesses these measures in the present case as sufficient and refrains from raising objections to the establishment and operation of the internet platform within the scope of its discretion. This decision is based on a comprehensive consideration of all measures taken by KSE. Accordingly, it does not have any immediate precedential effect for the assessment of the limitation of influence and information rights in other case constellations.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