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https://www.bundeskartellamt.de/SharedDocs/Entscheidung/EN/Fallberichte/Kartellverbot/2010/B5-100-09.pdf?__blob=publicationFile&amp;v=2</w:t>
      </w:r>
    </w:p>
    <w:p>
      <w:r>
        <w:t>Pages translated : 2</w:t>
      </w:r>
    </w:p>
    <w:p/>
    <w:p>
      <w:r>
        <w:rPr>
          <w:b/>
        </w:rPr>
        <w:t>[Pages 1–2]</w:t>
      </w:r>
    </w:p>
    <w:p>
      <w:r>
        <w:t xml:space="preserve">Case summary 28 June 2010  </w:t>
        <w:br/>
        <w:t xml:space="preserve">Fine imposed for resale price maintenance in the mobile navigation sector  </w:t>
        <w:br/>
        <w:t xml:space="preserve">Sector: Outdoor navigation devices  </w:t>
        <w:br/>
        <w:t xml:space="preserve">Reference: B 5 - 100/09  </w:t>
        <w:br/>
        <w:t>Date of decision: 18 June 2010</w:t>
      </w:r>
    </w:p>
    <w:p>
      <w:r>
        <w:t>On 18 June 2010, the Bundeskartellamt imposed fines totaling some 2.5 million euros on Garmin Deutschland GmbH (“Garmin”) and a company representative on account of a resale price maintenance system which is impermissible under competition law.</w:t>
      </w:r>
    </w:p>
    <w:p>
      <w:r>
        <w:t>The proceedings were initiated after Garmin had approached the Bundeskartellamt in October 2009 and had notified it of a resale price maintenance system (the so-called “kick-back programme”). The “kickback programme” had already ended at this time. Under the programme, the manufacturer’s ex-factory prices were higher for specialist retailers with their own online store whose online sales prices were conspicuously low. If the retailers concerned raised the online prices of the navigation devices concerned to a minimum price level set by Garmin, Garmin retrospectively granted them a compensatory bonus.</w:t>
      </w:r>
    </w:p>
    <w:p>
      <w:r>
        <w:t>The fine imposed on Garmin was calculated in accordance with the Bundeskartellamt’s fining guidelines1 on the basis of the domestic turnover achieved by the company with the products concerned over the duration of the violation (“turnover achieved from the infringement”).</w:t>
      </w:r>
    </w:p>
    <w:p>
      <w:r>
        <w:t>1 Notice no. 38/2006 on the imposition of fines under Section 81 (4) sentence 2 of the German Act against Restraints of Competition (GWB) against undertakings and associations of undertakings of 15 September 2006.</w:t>
      </w:r>
    </w:p>
    <w:p>
      <w:r>
        <w:t>The fines are not yet final. However, both Garmin and the representative concerned have agreed to a settlement.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