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https://www.bundeskartellamt.de/SharedDocs/Entscheidung/EN/Fallberichte/Missbrauchsaufsicht/2016/B5-100-10.pdf?__blob=publicationFile&amp;v=3</w:t>
      </w:r>
    </w:p>
    <w:p>
      <w:r>
        <w:t>Pages translated : 3</w:t>
      </w:r>
    </w:p>
    <w:p/>
    <w:p>
      <w:r>
        <w:rPr>
          <w:b/>
        </w:rPr>
        <w:t>[Pages 1–3]</w:t>
      </w:r>
    </w:p>
    <w:p>
      <w:r>
        <w:t xml:space="preserve">Case summary 13 December 2011  </w:t>
        <w:br/>
        <w:t xml:space="preserve">Bundeskartellamt ensures online availability of high-quality sanitary fittings  </w:t>
        <w:br/>
        <w:t xml:space="preserve">Sector: Sanitary fittings  </w:t>
        <w:br/>
        <w:t>Ref.: B5-100/10</w:t>
      </w:r>
    </w:p>
    <w:p>
      <w:r>
        <w:t>Following a number of complaints from online retailers in the sanitary fitting sector, the Bundeskartellamt initiated proceedings against luxury sanitary fittings manufacturer Aloys F. Dornbracht GmbH &amp; Co. KG. The online retailers had complained that they were no longer able to obtain Dornbracht products wholesale at all or only at uncompetitive prices. The Bundeskartellamt identified the revised distribution agreements practised by Dornbracht for several years as the cause of the discrimination. Since 2008, Dornbracht has concluded an annual specialist trade agreement with its wholesalers. According to Dornbracht, this was intended to support the three-level distribution system that was usual in the sector (manufacturer – wholesaler – specialist skilled tradesman). Under the specialist trade agreement Dornbracht grants its distribution partners special remuneration in the form of a discount on list prices when they fulfil certain quality criteria. These quality criteria include the guarantee that Dornbracht products are professionally installed and put into operation and that there is an adequate after-sales service.</w:t>
      </w:r>
    </w:p>
    <w:p>
      <w:r>
        <w:t>These criteria make resale to certain customers economically unattractive for wholesalers as they are practically impossible to fulfil by customer groups such as DIY stores, online-only retailers and discount stores or in the case of cross-deliveries to other wholesalers. The discount specified in the specialist trade agreement is not granted to such customers. This in effect creates a compelling incentive to use the traditional three-level distribution system and to supply to specialist skilled tradesmen.</w:t>
      </w:r>
    </w:p>
    <w:p>
      <w:r>
        <w:t>The preferential treatment of certain customers intended by the specialist trade agreement was particularly evident in the version of the agreement used in 2008, under which wholesalers had to pass on 10 percent of their share of the remuneration to the specialist skilled tradesmen level. In the following years, this clause was deleted.</w:t>
      </w:r>
    </w:p>
    <w:p>
      <w:r>
        <w:t>In its external presentation, too, Dornbracht openly expresses its commitment to specialist brick-and-mortar retailers and its opposition to internet sales. The company’s website, interview statements etc., particularly on the occasion of the introduction of its specialist trade agreement, show that the agreement certainly intended to discriminate against certain distribution channels. As mentioned above, Dornbracht stated in the press that the specialist trade agreement was developed to support the three-level distribution system. Even before the specialist trade agreement was introduced, Dornbracht had taken other measures against online trading. In a press statement of November 2006, Dornbracht even spoke of an “offensive against the online marketing” of its products. At that time the company intensified its measures against the unauthorized use of Dornbracht’s own photographic material for purely online sales purposes. Today Dornbracht still recommends visitors of its website to buy Dornbracht products exclusively via specialist stores. Dornbracht also explicitly advises against buying online, listing what it regards as the possible risks of this distribution channel.</w:t>
      </w:r>
    </w:p>
    <w:p>
      <w:r>
        <w:t>Such hindrance to sales via certain distribution channels leads to a loss of internal brand competition, since inexpensive offers via the internet and in DIY and discount stores are impeded or even made impossible to the advantage of specialist skilled tradesmen. The revised distribution agreement therefore clearly exceeds (even under the latest European administrative practice) the limited extent to which online trading may be restricted. As a consequence, it constitutes a violation of Article 101 (1) of the Treaty on the Functioning of the European Union (TFEU) and Section 1 of the Act against Restraints of Competition (German Competition Act - GWB).</w:t>
      </w:r>
    </w:p>
    <w:p>
      <w:r>
        <w:t>Dornbracht states that in order to maintain and expand its position as a premium supplier, it is important for the final customer to be offered a service appropriate to the Dornbracht brand and products. This not only covers the possible measures that lie within Dornbracht’s scope of action, but also those of downstream levels of the distribution system. The specialist trade agreement is designed to pay compensation to retailers that are willing to incur costs to support the Dornbracht brand. This compensation is intended to counteract the risk that retailers decide, merely for financial reasons, to sell Dornbracht products in a way that is detrimental to the brand image. However, the path Dornbracht chose to achieve this objective led at least to a dual pricing system because – on account of the discount not being granted – the manufacturer’s sales price for goods to be sold online was higher than the sales price for goods to be sold in brick-and-mortar outlets.</w:t>
      </w:r>
    </w:p>
    <w:p>
      <w:r>
        <w:t>Under the European Commission Guidelines on Vertical Restraints, this constitutes a violation of competition law. Paragraph 52 of the Guidelines states that certain restrictions on the use of the internet are dealt with as (re)sale restrictions. In principle every retailer must be allowed to use the internet to sell products. If a customer visits the website of a retailer and contacts the retailer, and if such contact leads to a sale, including delivery, then that is considered passive selling and cannot be limited. Under para. 52 of the Guidelines, it is also to be regarded as a hardcore restriction if it is agreed that the retailer shall pay a higher price for products intended to be resold by the retailer online than for products intended to be resold offline. This does not exclude the supplier agreeing with the buyer a fixed fee (that is, not a variable fee where the sum increases with the realised offline turnover as this would amount indirectly to dual pricing) to support the latter’s offline or online sales efforts. The discount system practised by Dornbracht under its specialist trade agreement is therefore a hardcore restriction within the meaning of European law. An exemption under Commission Regulation (EU) No. 330/2010 on the application of Article 101 (3) of the TFEU to categories of vertical agreements and concerted practices (vertical restraints block exemption regulation) is not possible.</w:t>
      </w:r>
    </w:p>
    <w:p>
      <w:r>
        <w:t>A dual pricing system is problematic from a competition point of view, not least because the monitoring of such a system requires the retailer to reveal what he has sold to whom and through which distribution channel. Such sensitive, internal corporate data are business secrets, however, which require protection in the interest of competition. In the present case, too, the Bundeskartellamt has information suggesting that wholesalers were called upon to reveal their turnover from Dornbracht products if there was any doubt as to whether they fulfilled the criteria of the specialist trade agreement.</w:t>
      </w:r>
    </w:p>
    <w:p>
      <w:r>
        <w:t>After the Bundeskartellamt had informed Dornbracht of its concerns about competition, Dornbracht agreed to delete the disputed clauses from its contracts. The proceedings were thereupon closed.</w:t>
      </w:r>
    </w:p>
    <w:p>
      <w:r>
        <w:t>The Bundeskartellamt expects other manufacturers that conclude similar contracts to amend their provisions. If this is insufficient to achieve a supply of all distribution channels which is acceptable under competition law, the Bundeskartellamt reserves the right to initiate further proceedings in this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