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https://www.bundeskartellamt.de/SharedDocs/Entscheidung/DE/Fallberichte/Kartellverbot/2022/B5-130-20.pdf?__blob=publicationFile&amp;v=2&amp;utm_source=GTDT&amp;utm_medium=pdf&amp;utm_campaign=Cartel+Regulation+2024</w:t>
      </w:r>
    </w:p>
    <w:p>
      <w:r>
        <w:t>Pages translated : 11</w:t>
      </w:r>
    </w:p>
    <w:p/>
    <w:p>
      <w:r>
        <w:rPr>
          <w:b/>
        </w:rPr>
        <w:t>[Pages 1–3]</w:t>
      </w:r>
    </w:p>
    <w:p>
      <w:r>
        <w:t>Case Report June 29, 2022</w:t>
        <w:br/>
        <w:t>Federal Cartel Office retrospectively establishes the illegality of the non-compete clause in distribution agreements of chainsaw manufacturer STIHL</w:t>
        <w:br/>
        <w:t>Industry: Portable and handheld motorized equipment for gardening and landscaping, landscape maintenance, and forestry</w:t>
        <w:br/>
        <w:t>File Number: B5-130/20</w:t>
        <w:br/>
        <w:t>Date of Decision: May 31, 2022</w:t>
      </w:r>
    </w:p>
    <w:p>
      <w:r>
        <w:t>1. Summary</w:t>
        <w:br/>
        <w:t>By decision dated May 31, 2022, the Federal Cartel Office retrospectively established the illegality of a non-compete clause. This concerns a distribution agreement of STIHL Vertriebszentrale AG &amp; Co. KG, Dieburg ("STIHL"), which it had concluded with several hundred authorized STIHL specialist dealers in Germany regarding competing products. The determination relates to the period from January 2019 to June 2021 and to the federal territory.</w:t>
      </w:r>
    </w:p>
    <w:p>
      <w:r>
        <w:t>STIHL predominantly distributes its STIHL brand products indirectly through independent specialist dealers (so-called "motorists") within a selective distribution system. In Germany, until 2021, STIHL operated its selective distribution system in a special form: STIHL differentiated between "normal" STIHL specialist dealers on the one hand and those with the status of "STIHL Service Dealer" on the other. The "STIHL Service" status was particularly privileged by certain conditional advantages over "normal" STIHL specialist dealers, making it attractive for many motorists. All STIHL Service Dealers were subject until 2021 to the obligation to sign, in addition to the so-called STIHL specialist dealer agreement, the so-called STIHL Service supplementary agreement, which contained a non-compete clause. This made it impossible for STIHL Service Dealers to carry brands from other manufacturers alongside STIHL for certain products. The non-compete clause of the STIHL Service supplementary agreement was also enforced by STIHL until June 2021; the application of the non-compete clause within the framework of the STIHL Service supplementary agreement violated antitrust law.</w:t>
      </w:r>
    </w:p>
    <w:p>
      <w:r>
        <w:t>STIHL ultimately abandoned the non-compete clause during the year 2021 - in light of this antitrust administrative procedure. The non-compete clause has not been applied or enforced by STIHL since the end of June 2021. The STIHL Service supplementary agreement concluded with the STIHL Service Dealers, which contained the clause in question, was generally still in force until the end of 2021 but expired without replacement on January 1, 2022. Thus, the violation by STIHL is completely terminated.</w:t>
      </w:r>
    </w:p>
    <w:p>
      <w:r>
        <w:t>2. The Party Involved: STIHL</w:t>
        <w:br/>
        <w:t>STIHL is a limited partnership and a 100 percent subsidiary of STIHL Holding AG &amp; Co. KG, Waiblingen, and part of the STIHL Group ("STIHL Group"). Within the STIHL Group, STIHL is responsible for the distribution and marketing of the products of the STIHL Group in Germany. The shareholders of STIHL Holding AG &amp; Co. KG are exclusively members of the Stihl family. The STIHL Group develops, produces, and distributes motorized equipment for professional agriculture and forestry, landscape maintenance, construction, and demanding private users. The STIHL Group operates in Germany and worldwide. STIHL is a global corporation and market and technology leader for chainsaws and motorized equipment.</w:t>
      </w:r>
    </w:p>
    <w:p>
      <w:r>
        <w:t>The product portfolio of the STIHL Group is extensive; no other manufacturer represented in Germany has a broader product portfolio of corresponding motorized equipment. STIHL's product portfolio includes not only gasoline-powered motorized equipment but also electrically powered devices via cable or battery. The STIHL Group offers its own battery system, which is technically not compatible with battery systems from other manufacturers or brands of motorized equipment. The product portfolio of STIHL includes, in addition to chainsaws and so-called cutting sets, further products in the categories of sawing and cutting (brushcutters, clearing saws, etc.), as well as products from the areas of mowing and planting (lawn mowers, among others), cleaning and tidying (high-pressure cleaners, leaf blowers, among others), and other motorized equipment (such as shredders, earth augers, and motor hoes). Additional products include hand tools and forestry accessories, solutions for the digital management of devices (Connected Products), branded shop products such as personal protective equipment and promotional items, as well as operating materials, spare parts, and other accessories for the mentioned motorized equipment. With the offering of riding mowers, the portfolio extends beyond the category of portable or handheld motorized equipment.</w:t>
      </w:r>
    </w:p>
    <w:p>
      <w:r>
        <w:t>In 2020, the STIHL Group achieved worldwide sales revenues of approximately €4.58 billion, of which approximately 10 percent were domestic sales. STIHL's domestic sales increased in 2020 compared to 2019 from just under €400 million to approximately €450 million. In 2021, the STIHL Group achieved worldwide sales revenues of approximately €5.05 billion, of which approximately 10 percent were domestic sales. Worldwide, the STIHL Group employs around 20,000 employees (year 2021).</w:t>
      </w:r>
    </w:p>
    <w:p>
      <w:r>
        <w:t>3. Selective Distribution System and Non-Compete Clause</w:t>
        <w:br/>
        <w:t>The STIHL Group has so far predominantly distributed its products in Germany through the so-called service-providing specialist trade in indirect distribution. The STIHL specialist dealers form a comprehensive distribution network in Germany. Only authorized specialist dealers who meet certain quality criteria are allowed to distribute STIHL products within the framework of STIHL's selective distribution system. The specialist trade distribution is based on a strategic fundamental decision of the STIHL Group. The specialist trade is generally an important distribution channel for brand manufacturers, as the motorists take on various functions such as consulting, instruction, commissioning, repair, and other services. STIHL distributes the manufactured motorized equipment in Germany exclusively under the manufacturer brand, and since 2019, all under the globally used brand "STIHL." During the year 2020, STIHL additionally introduced an internet direct sales channel ("STIHL direct") in Germany (and other countries), which has since complemented the indirect distribution through specialist dealers.</w:t>
      </w:r>
    </w:p>
    <w:p>
      <w:r>
        <w:t>Selective distribution typically requires a long-term and often close relationship between manufacturer and specialist dealer (so-called distribution partnership). STIHL specialist dealers who wanted to achieve the exclusive status of a STIHL Service Dealer had to sign and comply with the STIHL Service supplementary agreement in addition to the STIHL specialist dealer agreement. The STIHL Service supplementary agreement is a written contract with which STIHL regularly regulated its relationships with those specialist dealers who wanted to distribute STIHL products and committed themselves - as so-called STIHL Services - to meet stricter requirements in their function as intermediaries and service partners than "normal" STIHL specialist dealers.</w:t>
      </w:r>
    </w:p>
    <w:p>
      <w:r>
        <w:t>The STIHL Service supplementary agreement, which the STIHL Group used only in Germany, contained a non-compete clause. The corresponding clause prohibited the specialist dealers from promoting the manufacture or sale of competing products - regardless of quality and price levels or technical execution - for the listed products directly or indirectly. The following product categories were included during the determination period: chainsaws and pole pruners, chains, guide bars, sprockets, brushcutters and clearing saws, cutting tools, combi-engines, combi-tools, cut-off saws, hedge trimmers and hedge cutters, spraying and blowing devices, earth augers, accessories, and spare parts. STIHL also enforced the non-compete clause by monitoring compliance by the STIHL Services.</w:t>
      </w:r>
    </w:p>
    <w:p>
      <w:r>
        <w:rPr>
          <w:b/>
        </w:rPr>
        <w:t>[Pages 4–6]</w:t>
      </w:r>
    </w:p>
    <w:p>
      <w:r>
        <w:t>and in the event of a determined violation – i.e., if corresponding competing products were carried or sold – (after a warning) the STIHL Service dealer status was possibly revoked.</w:t>
      </w:r>
    </w:p>
    <w:p>
      <w:r>
        <w:t>4. Procedure</w:t>
      </w:r>
    </w:p>
    <w:p>
      <w:r>
        <w:t>A competitor of STIHL filed a complaint with the Federal Cartel Office in January 2019, which was particularly directed against the non-compete clause of the STIHL Service supplementary agreement, as well as against its application and enforcement in the area of handheld or portable motorized equipment for gardening and landscaping, landscape maintenance, and forestry. The complainant sees this as a violation of Articles 101 and 102 of the Treaty on the Functioning of the European Union ("TFEU") and §§ 1, 19 of the Act Against Restraints of Competition ("GWB"), which substantially impaired competition in the affected business areas.</w:t>
      </w:r>
    </w:p>
    <w:p>
      <w:r>
        <w:t>In October 2020, the Federal Cartel Office initiated a formal administrative procedure for a detailed antitrust examination of the distribution system of STIHL in Germany following preliminary investigations to clarify the facts. As part of the investigation procedure, the Federal Cartel Office conducted extensive market surveys to clarify the factual and legal situation. In spring 2021, a survey of all relevant manufacturers of portable or handheld motorized equipment in Germany was conducted. From June 2021, a large number of specialist dealers – including STIHL Service dealers, "regular" STIHL specialist dealers, and non-STIHL specialist dealers – were questioned by means of a request for information.</w:t>
      </w:r>
    </w:p>
    <w:p>
      <w:r>
        <w:t>STIHL declared the non-compete clause of the STIHL Service supplementary agreement void for STIHL Service dealers at the end of June 2021 and has since ceased to apply or enforce it. The STIHL Service supplementary agreement, in other respects, expired without replacement on January 1, 2022.</w:t>
      </w:r>
    </w:p>
    <w:p>
      <w:r>
        <w:t>By decision of May 31, 2022, the Federal Cartel Office subsequently determined, in accordance with § 32 Abs. 3 GWB in conjunction with Article 101 TFEU and §§ 1, 2 GWB, that the non-compete clause of the STIHL Service supplementary agreement and the application of the STIHL Service supplementary agreement with non-compete clause towards the so-called STIHL Service dealers within the framework of the selective distribution system of the parties in Germany were unlawful.</w:t>
      </w:r>
    </w:p>
    <w:p>
      <w:r>
        <w:t>A subsequent determination was necessary despite the abandonment of the contested behavior. The subsequent determination has, among other things, a signaling effect towards the motorists, whether they are STIHL Services, "other" STIHL specialist dealers, or dealers of other manufacturer brands. The contested STIHL Service supplementary agreement was widely spread in the market. Therefore, as well as due to the market position of STIHL, the recognition of the STIHL brand, and the long application of the STIHL Service status and the enforcement of the non-compete clause contained therein in the domestic market, the STIHL Service supplementary agreement had a market-shaping significance in Germany. Furthermore, from the perspective of the Federal Cartel Office, the decision also has a significant signaling effect for other manufacturers considering including similar provisions in their (selective) distribution systems or applying existing provisions with the same aim or effect.</w:t>
      </w:r>
    </w:p>
    <w:p>
      <w:r>
        <w:t>In light of the established violation of Article 101 TFEU and § 1 GWB, a possible parallel violation of Article 102 TFEU ("Abuse of a dominant position") was not examined in detail within the framework of this procedure, already for reasons of procedural economy.</w:t>
      </w:r>
    </w:p>
    <w:p>
      <w:r>
        <w:t>5. Relevant Markets and Market Position of STIHL</w:t>
      </w:r>
    </w:p>
    <w:p>
      <w:r>
        <w:t>STIHL is active in the manufacture and distribution of various categories of portable or handheld motorized equipment for agriculture and forestry, landscape maintenance, construction, and private users, as well as in the production of robotic lawn mowers and ride-on mowers or lawn tractors.</w:t>
      </w:r>
    </w:p>
    <w:p>
      <w:r>
        <w:t>In delineating the relevant markets in terms of product and geography, the authority has based its assessment on the (modified) demand market concept. According to the results of the investigations, it is appropriate in the present case to assume product- or product group-related relevant markets for the manufacture and distribution of the corresponding motorized equipment, as well as a separate market for replacement and wear parts for these motorized devices. This concerns exclusively the (indirect) distribution of manufacturers to trading companies. In principle, only manufacturer brand products are to be included, as STIHL only manufactures and distributes such branded products and STIHL specialist dealers generally do not carry private labels or own brands. Each product-related market encompasses a sometimes significant range of designs, performance classes, and model variants. Regarding these product group-related markets, it could be left open in favor of STIHL whether separate markets for different drive types (i.e., gasoline, battery, or electric cable) or an overarching overall market for all drive types should be assumed.</w:t>
      </w:r>
    </w:p>
    <w:p>
      <w:r>
        <w:t>With regard to the geographically relevant markets for the manufacture and distribution of the corresponding products, the decision division assumes, as already established in the procedure B5 - 84/08 - STIHL/Zama, a nationwide market. This is supported by the distribution jurisdiction of STIHL (Dieburg), which is limited to the federal territory, as well as the uniform selective distribution system that is also limited to the federal territory. The procurement activities of the motorists predominantly do not extend beyond the federal territory.</w:t>
      </w:r>
    </w:p>
    <w:p>
      <w:r>
        <w:t>Based on the results of the investigations by the decision division, the following market position of STIHL in individual domestic markets is assumed (reference years 2019, 2020):</w:t>
      </w:r>
    </w:p>
    <w:p>
      <w:r>
        <w:t>Overview: Market position of STIHL in Germany (excerpt, revenue-based)</w:t>
      </w:r>
    </w:p>
    <w:p>
      <w:r>
        <w:t>Product Market Share or Market Share Range (in %)</w:t>
        <w:br/>
        <w:t>Manufacturer &amp; Manufacturer Brands Only</w:t>
        <w:br/>
        <w:t>Private Labels</w:t>
        <w:br/>
        <w:t>(all drive types)</w:t>
        <w:br/>
        <w:t>(all drive types)</w:t>
        <w:br/>
        <w:t>Replacement and Wear Parts &gt;30% &gt;30%</w:t>
        <w:br/>
        <w:t>Chainsaws and Chain Saws &gt;50% &gt;50%</w:t>
        <w:br/>
        <w:t>Pole Pruners &gt;30% &gt;40%</w:t>
        <w:br/>
        <w:t>Brushcutters, Clearing Saws, and Grass Trimmers &gt;30% &gt;40%</w:t>
        <w:br/>
        <w:t>Hedge Trimmers and Hedge Cutters &gt;30% &gt;30%</w:t>
        <w:br/>
        <w:t>Cut-off Saws and Stone Cutters &gt;60% &gt;80%</w:t>
        <w:br/>
        <w:t>Earth Augers &gt;50% &gt;50%</w:t>
      </w:r>
    </w:p>
    <w:p>
      <w:r>
        <w:t>The investigations have shown that STIHL holds a market share of over 30 percent in Germany in relation to all markets listed in the table. Even when considering the "total range" of all handheld and portable motorized equipment including replacement and wear parts (all drive types), STIHL's share of the corresponding specialist retail volume exceeds 30 percent. In particular, with respect to individual product-related markets that were not subject to the non-compete clause of the STIHL Service supplementary agreement, STIHL's market shares are below 30 percent (such as the markets for high-pressure cleaners, sweepers, robotic lawn mowers, or lawn tractors).</w:t>
      </w:r>
    </w:p>
    <w:p>
      <w:r>
        <w:t>The consideration of the value share of the "total range" of the specialist retail is only supplementary here; the Federal Cartel Office does not assume a "range market" for the corresponding motorized equipment.</w:t>
      </w:r>
    </w:p>
    <w:p>
      <w:r>
        <w:rPr>
          <w:b/>
        </w:rPr>
        <w:t>[Pages 7–9]</w:t>
      </w:r>
    </w:p>
    <w:p>
      <w:r>
        <w:t>6. Assessment under Article 101(1) TFEU and § 1 GWB</w:t>
      </w:r>
    </w:p>
    <w:p>
      <w:r>
        <w:t>In the area of indirect distribution of the aforementioned portable or handheld motorized equipment, selective distribution systems are not fundamentally prohibited under antitrust law. According to German and European antitrust law, it is also not generally forbidden to combine a non-compete clause with selective distribution. However, a group exemption under the European Vertical Block Exemption Regulation ("Vertical Block Exemption Regulation") requires that the market shares of the supplier and the buyer do not exceed 30 percent.</w:t>
      </w:r>
    </w:p>
    <w:p>
      <w:r>
        <w:t>In the present individual case, the Federal Cartel Office has determined that the non-compete clause expressed in a clause of the STIHL Service Additional Agreement falls under the prohibition of Article 101(1) TFEU, as it constitutes an agreement that is capable of affecting trade between Member States and aims to prevent, restrict, or distort competition within the internal market. At the same time, there is a violation of the prohibition of § 1 GWB concerning the affected domestic markets. The question of whether the resulting restriction of competition is also intended did not need to be conclusively decided in this case. For the non-compete clause of the STIHL Service Additional Agreement, a noticeable restriction of competition was, in any case, caused.</w:t>
      </w:r>
    </w:p>
    <w:p>
      <w:r>
        <w:t>The selective distribution system of STIHL, in its form shaped by the non-compete clause, particularly against the backdrop of STIHL's outstanding market position in various product markets and the high brand image of the STIHL brand in Germany, the agreed duration of usually no less than five years, and the broad product portfolio covered by the selective distribution, results in a restriction of intra-brand competition. In addition to the restriction of intra-brand competition, the non-compete clause of the STIHL Service Additional Agreement also affects inter-brand competition. This applies at least to the markets for the manufacture and distribution of the following products: "chainsaws and chain saws," "pole pruners," "brushcutters, clearing saws, and grass trimmers," "hedge trimmers and hedge cutters," "cut-off saws and stone cutters," "earth augers," as well as replacement and wear parts for these devices.</w:t>
      </w:r>
    </w:p>
    <w:p>
      <w:r>
        <w:t>The non-compete clause of the STIHL Service Additional Agreement caused a restriction of competition in the affected markets concerning distribution to or through STIHL service dealers: As long as current or potential competitors of STIHL are striving for catch-up competition or market entry, the STIHL services as sales intermediaries are generally not considered from the outset, as long as they also aim to sell products covered by the non-compete clause. STIHL service dealers represented a significant share of the service-providing specialist dealers or "motorists" in Germany, including particularly high-performing STIHL specialist dealers. The significance of the STIHL services within the overall specialist trade is assessed to be considerably higher from a revenue perspective than what the mere dealer or sales outlet numbers convey. The total revenues of STIHL in indirect distribution in Germany were largely attributable to STIHL services. In the case of a previously "normal" STIHL specialist dealer who is newly authorized as a STIHL service, this change in status necessarily leads to the delisting of all previously listed third-party brand products subject to the non-compete clause. Additionally, the privileges granted to the STIHL services by STIHL regarding purchasing conditions also influenced a product range that was more focused on STIHL products – and thus against competing brands.</w:t>
      </w:r>
    </w:p>
    <w:p>
      <w:r>
        <w:t>Due to the network character of dealer networks and the regionalized demand of end customers in stationary distribution, the isolation acted not only concerning the individual STIHL service locations but also as a barrier to competition for current and potential competitors in establishing and expanding a network of stationary specialist dealers in Germany. The inclusion and integration of STIHL service dealers, who are often particularly high-performing and revenue-strong and usually have attractive locations, into their own dealer network was de facto not possible for competitors due to the existing non-compete clause.</w:t>
      </w:r>
    </w:p>
    <w:p>
      <w:r>
        <w:t>The results of the investigations conducted by the Federal Cartel Office have overall shown that the non-compete clause of the STIHL Service Additional Agreement and its enforcement caused a pronounced market isolation concerning a significant part of the affected markets. As a result, the options for action of STIHL's competitors were noticeably restricted overall, and potential newcomers were deterred or discouraged.</w:t>
      </w:r>
    </w:p>
    <w:p>
      <w:r>
        <w:t>7. No Exemption</w:t>
      </w:r>
    </w:p>
    <w:p>
      <w:r>
        <w:t>Competition restrictions covered by Article 101(1) TFEU or § 1 GWB, such as the non-compete clause agreed upon and applied within the framework of STIHL's selective distribution system, can generally be exempted if they either meet the requirements for group exemption under the Vertical Block Exemption Regulation or the requirements for individual exemption. In the present proceedings, neither the requirements for a group exemption nor for an individual exemption were met.</w:t>
      </w:r>
    </w:p>
    <w:p>
      <w:r>
        <w:t>7.1 Missing Requirements for a Group Exemption</w:t>
      </w:r>
    </w:p>
    <w:p>
      <w:r>
        <w:t>The privilege of group exemption is generally granted by the Vertical Block Exemption Regulation only up to a certain market share threshold (see Article 3(1) Vertical Block Exemption Regulation). The Vertical Block Exemption Regulation was not applicable here, as the market shares of STIHL, at least concerning a number of affected domestic markets, significantly exceed the stipulated threshold of 30% market share, which also indicates the existence of market power. This was established at least concerning the following individual markets: "chainsaws and chain saws," "pole pruners," "brushcutters, clearing saws, and grass trimmers," "cut-off saws and stone cutters," "earth augers," as well as replacement and wear parts for these devices.</w:t>
      </w:r>
    </w:p>
    <w:p>
      <w:r>
        <w:t>7.2 Missing Requirements for an Individual Exemption</w:t>
      </w:r>
    </w:p>
    <w:p>
      <w:r>
        <w:t>The non-compete clause of the STIHL Service Additional Agreement is also not capable of being exempted through individual exemption. The exemption of an agreement from the prohibition of Article 101(1) TFEU depends on four substantive requirements that must be cumulatively fulfilled in the considered individual case. The criteria are:</w:t>
        <w:br/>
        <w:t>- Improvement of the production or distribution of goods or promotion of technical and economic progress (1.),</w:t>
        <w:br/>
        <w:t>- Adequate participation of consumers in the resulting profit (2.),</w:t>
        <w:br/>
        <w:t>- Necessity (3.), and</w:t>
        <w:br/>
        <w:t>- No exclusion of competition (4.).</w:t>
      </w:r>
    </w:p>
    <w:p>
      <w:r>
        <w:t>The existence of the four necessary requirements concerning the non-compete clause of the STIHL Service Additional Agreement was not convincingly demonstrated by STIHL and is also not otherwise apparent, at least not cumulatively. The absence of the third criterion ("necessity") is already evident from the fact that STIHL was able to declare the non-compete clause towards the STIHL service dealers as irrelevant without further ado in June 2021 and allowed the STIHL Service Additional Agreement to expire without replacement on December 31, 2021. Thus, the</w:t>
      </w:r>
    </w:p>
    <w:p>
      <w:r>
        <w:rPr>
          <w:b/>
        </w:rPr>
        <w:t>[Pages 10–11]</w:t>
      </w:r>
    </w:p>
    <w:p>
      <w:r>
        <w:t>The non-compete clause could not have been essential. Furthermore, the STIHL Group has agreed upon and practiced a comparable non-compete clause exclusively in Germany and in no other country. The non-compete clause was also imposed only on a portion of the STIHL specialist dealers. Additionally, the decision division found that none of STIHL's competitors in Germany use such a non-compete clause within the framework of a selective distribution system. Finally, the non-compete clause was not an essential prerequisite for any "development partnerships" between STIHL and STIHL specialist dealers.</w:t>
      </w:r>
    </w:p>
    <w:p>
      <w:r>
        <w:t>8. Conclusion</w:t>
      </w:r>
    </w:p>
    <w:p>
      <w:r>
        <w:t>The non-compete clause enshrined in the STIHL Service supplementary agreement within the framework of the STIHL selective distribution system in Germany was unlawful. As an agreement that is capable of affecting trade between Member States and aims to prevent, restrict, or distort competition within the internal market, the non-compete clause violates Article 101(1) TFEU without being exempted. At the same time, there is a violation of § 1 GWB, which is also not exemptible.</w:t>
      </w:r>
    </w:p>
    <w:p>
      <w:r>
        <w:t>9. Outlook</w:t>
      </w:r>
    </w:p>
    <w:p>
      <w:r>
        <w:t>Beyond the findings made, the investigations conducted in the proceedings have revealed that in certain product-related markets for the relevant portable and handheld motorized equipment, structures exist that are capable of endangering competition. In particular, it was found that, in addition to STIHL, other manufacturers also hold high or very high market shares in certain product-related domestic markets. STIHL is also not the only manufacturer operating a selective distribution system with dealer binding and a complex conditions system in this regard. Against this background, there are further questions regarding the antitrust permissibility of the selective distribution systems and conditions systems used by individual manufacturers, particularly also in terms of possible cumulative effects as well as potential abuse of market power.</w:t>
      </w:r>
    </w:p>
    <w:p>
      <w:r>
        <w:t>The Federal Cartel Office will continue to monitor the competitive conditions and their development in the markets for portable and handheld motorized equipment for gardening and landscaping, landscape maintenance, and forestry. Manufacturers operating in that area must be aware that they are fundamentally responsible for carefully examining their vertical distribution agreements within the framework of the legal exemption system. Violations of antitrust regulations will also be sanctioned in the future if necessary.</w:t>
      </w:r>
    </w:p>
    <w:p>
      <w:r>
        <w:t>10</w:t>
      </w:r>
    </w:p>
    <w:p>
      <w:r>
        <w:t xml:space="preserve">The decision of May 31, 2022, is not legally binding. STIHL has filed an appeal against it.  </w:t>
        <w:br/>
        <w:t>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