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https://www.bundeskartellamt.de/SharedDocs/Entscheidung/EN/Fallberichte/Kartellverbot/2016/B5-144-13.pdf;jsessionid=0188BF8A423E524FD5ED279D664D81A9.1_cid371?__blob=publicationFile&amp;v=2</w:t>
      </w:r>
    </w:p>
    <w:p>
      <w:r>
        <w:t>Pages translated : 2</w:t>
      </w:r>
    </w:p>
    <w:p/>
    <w:p>
      <w:r>
        <w:rPr>
          <w:b/>
        </w:rPr>
        <w:t>[Pages 1–2]</w:t>
      </w:r>
    </w:p>
    <w:p>
      <w:r>
        <w:t xml:space="preserve">Case summary 5 December 2013  </w:t>
        <w:br/>
        <w:t xml:space="preserve">Bundeskartellamt obtains change in GARDENA retailer discount systems  </w:t>
        <w:br/>
        <w:t xml:space="preserve">Sector: Gardening and electric tools  </w:t>
        <w:br/>
        <w:t xml:space="preserve">Ref.: B5-144/13  </w:t>
        <w:br/>
        <w:t>Date of decision: 27 November 2013</w:t>
      </w:r>
    </w:p>
    <w:p>
      <w:r>
        <w:t>The Bundeskartellamt has terminated proceedings against gardening equipment manufacturer GARDENA following its commitment to the Bundeskartellamt that it would give equal treatment to future offline and online sales. When granting discounts to retailers in the future, no distinction will be made on the basis of the distribution channel.</w:t>
      </w:r>
    </w:p>
    <w:p>
      <w:r>
        <w:t>In making this commitment, GARDENA is changing the contractual clauses it introduced only recently, assessed by the Bundeskartellamt as discriminating against online distribution. The specific issue was so-called graded functional discounts, which GARDENA had ultimately linked to the sales channel (offline or online) through which the product was sold. Distributors had raised complaints with the Bundeskartellamt about this issue. The Bundeskartellamt assessed these conditions, regarding them as a prohibited so-called double pricing system since the functional discount was designed so that distributors were only able to benefit from the full discount through their offline turnover.</w:t>
      </w:r>
    </w:p>
    <w:p>
      <w:r>
        <w:t>The term “double pricing system” is used when a distributor is granted different purchasing prices or discounts, depending on whether it sells its product online or offline. Online sales are put at a disadvantage through lower discounts and thus higher purchase prices. As a result, distributors have less incentive to reach more and different clients via the Internet. This may deter distributors from establishing online distribution from the outset. European and German competition law therefore sees a double pricing system as a restriction of competition that is a hardcore restriction not covered by the block exemption regulation for vertical agreements.1,2</w:t>
      </w:r>
    </w:p>
    <w:p>
      <w:r>
        <w:t xml:space="preserve">1 Art. 4 b of Commission Regulation (EU) No 330/2010 of 20 April 2010 on the application of Article 101(3) of the Treaty on the Functioning of the European Union (TFEU) to categories of vertical agreements and concerted practices  </w:t>
        <w:br/>
        <w:t>2 For example, the European Commission Guidelines on Vertical Restraints (OJEU 2010/C 130/1), marginal no. 52 d).</w:t>
      </w:r>
    </w:p>
    <w:p>
      <w:r>
        <w:t>It is recognised that offline sales may be associated with higher costs than online sales. It may then be permissible, for example, to compensate for these specific costs by fixed allowances independent of turnover or quantities sold. In that case, the distributor would maintain control of its choice of distribution channels because such fixed contributions by the manufacturer generally do not influence the distributor’s pricing. GARDENA, however, had made the functional discount dependent on whether the distributor sold products online or offline.</w:t>
      </w:r>
    </w:p>
    <w:p>
      <w:r>
        <w:t>GARDENA quickly abolished this discount system and agreed to a new set of conditions that raised no competition concerns. The new conditions apply regardless of whether retailers sell their products online, through brick-and-mortar outlets or through both sales channels simultaneously (so-called hybrid distributors). The distributors will receive a special letter from GARDENA on the amendment to the discount. The change in the conditions means that GARDENA has ceased the conduct that was the subject of complaint, enabling proceedings to be terminated.</w:t>
      </w:r>
    </w:p>
    <w:p>
      <w:r>
        <w:t xml:space="preserve">Further information (in German) on the subject of “Vertical Restraints in the Internet Economy” can be found here:  </w:t>
        <w:br/>
        <w:t>http://www.bundeskartellamt.de/DE/UeberUns/Veranstaltungen/ArbeitskreisKartellrecht/arbeitskrei skartellrecht_node.html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