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http://www.bundeskartellamt.de/SharedDocs/Entscheidung/DE/Entscheidungen/Fusionskontrolle/2004/B5-170-03.pdf;jsessionid=CFE5220A051006518DC9F9A998A1604E.2_cid387?__blob=publicationFile&amp;v=3</w:t>
      </w:r>
    </w:p>
    <w:p>
      <w:r>
        <w:t>Pages translated : 60</w:t>
      </w:r>
    </w:p>
    <w:p/>
    <w:p>
      <w:r>
        <w:rPr>
          <w:b/>
        </w:rPr>
        <w:t>[Pages 1–3]</w:t>
      </w:r>
    </w:p>
    <w:p>
      <w:r>
        <w:t xml:space="preserve">BUNDESKARTELLAMT 53113 Bonn  </w:t>
        <w:br/>
        <w:t xml:space="preserve">5. Decision Division Kaiser-Friedrich-Str. 16  </w:t>
        <w:br/>
        <w:t xml:space="preserve">B 5 – 28752 – Fa – 170/03  </w:t>
        <w:br/>
        <w:t xml:space="preserve">Telephone: (0228) 9499 - 441  </w:t>
        <w:br/>
        <w:t xml:space="preserve">Central: (0228) 9499 - 0  </w:t>
        <w:br/>
        <w:t xml:space="preserve">Telefax: (0228) 9499 - 154  </w:t>
        <w:br/>
        <w:t xml:space="preserve">September 29, 2004  </w:t>
        <w:br/>
        <w:t xml:space="preserve">FOR PUBLICATION  </w:t>
        <w:br/>
        <w:t xml:space="preserve">INTENDED  </w:t>
        <w:br/>
        <w:t xml:space="preserve">MERGER PROCEDURE  </w:t>
        <w:br/>
        <w:t xml:space="preserve">ORDER PURSUANT TO § 40 ABS. 2  </w:t>
        <w:br/>
        <w:t xml:space="preserve">GWB  </w:t>
        <w:br/>
        <w:t xml:space="preserve">Decision  </w:t>
        <w:br/>
        <w:t xml:space="preserve">in the administrative procedure  </w:t>
        <w:br/>
        <w:t xml:space="preserve">1. Leggett &amp; Platt, Inc.  </w:t>
        <w:br/>
        <w:t xml:space="preserve">Post Office Box 757  </w:t>
        <w:br/>
        <w:t xml:space="preserve">Number 1 Leggett Road  </w:t>
        <w:br/>
        <w:t xml:space="preserve">Carthage, Missouri 64836  </w:t>
        <w:br/>
        <w:t xml:space="preserve">Authorized representatives for service for 1.:  </w:t>
        <w:br/>
        <w:t xml:space="preserve">Law Firm Hengeler Mueller  </w:t>
        <w:br/>
        <w:t xml:space="preserve">Benrather Str. 18 – 20  </w:t>
        <w:br/>
        <w:t xml:space="preserve">40213 Düsseldorf  </w:t>
        <w:br/>
        <w:t xml:space="preserve">Law Firm Coudert Brothers LLP  </w:t>
        <w:br/>
        <w:t xml:space="preserve">Friedrich-Ebert-Anlage 2 -14  </w:t>
        <w:br/>
        <w:t xml:space="preserve">City-Haus  </w:t>
        <w:br/>
        <w:t>60325 Frankfurt/Main</w:t>
      </w:r>
    </w:p>
    <w:p>
      <w:r>
        <w:t xml:space="preserve">2. AGRO Federkernproduktion GmbH  </w:t>
        <w:br/>
        <w:t xml:space="preserve">Senfdamm 21  </w:t>
        <w:br/>
        <w:t xml:space="preserve">49152 Bad Essen  </w:t>
        <w:br/>
        <w:t xml:space="preserve">3. Wolfgang Grothaus  </w:t>
        <w:br/>
        <w:t xml:space="preserve">Maschweg 28  </w:t>
        <w:br/>
        <w:t xml:space="preserve">49152 Bad Essen  </w:t>
        <w:br/>
        <w:t xml:space="preserve">Authorized representatives for 2. and 3.:  </w:t>
        <w:br/>
        <w:t xml:space="preserve">Law Firm Raupach &amp; Wollert-Elmendorff  </w:t>
        <w:br/>
        <w:t xml:space="preserve">Schwannstraße 6  </w:t>
        <w:br/>
        <w:t xml:space="preserve">40476 Düsseldorf  </w:t>
        <w:br/>
        <w:t xml:space="preserve">- Parties involved -  </w:t>
        <w:br/>
        <w:t xml:space="preserve">regarding a merger project, the 5th Decision Division of the Federal Cartel Office decided on September 29, 2004:  </w:t>
        <w:br/>
        <w:t xml:space="preserve">I. The merger project notified by letter dated December 16, 2003, concerning the acquisition of all assets of AGRO Federkernproduktion GmbH, Bad Essen, by Leggett &amp; Platt, Inc., Carthage (USA) is prohibited.  </w:t>
        <w:br/>
        <w:t>II. The fee for this decision is set at €[...] after crediting the separately determined fee of €[...] for the notification of the merger project. The fee debtors are according to § 80 Abs. 6 Nr. 1 GWB the parties involved 1. – 3.</w:t>
      </w:r>
    </w:p>
    <w:p>
      <w:r>
        <w:t xml:space="preserve">A. Facts  </w:t>
        <w:br/>
        <w:t xml:space="preserve">1. The authorized representatives of the parties involved in the merger, Leggett &amp; Platt (“L&amp;P”), Carthage, USA, and AGRO Federkernproduktion GmbH (“AGRO”), Bad Essen, notified the planned acquisition of AGRO by L&amp;P by letter dated December 16, 2003, received by fax at the Federal Cartel Office on the same day. The seller is Mr. Wolfgang Grothaus, managing director and sole shareholder of AGRO.  </w:t>
        <w:br/>
        <w:t xml:space="preserve">2. By letter dated February 13, 2004, the parties involved in the merger were informed that the Federal Cartel Office had commenced the examination of the merger (main examination procedure). The deadlines according to § 40 Abs. 1 S. 1 and § 40 Abs. 2 S. 2 GWB only began with the completion of the information required pursuant to § 39 Abs. 3 S. 2 GWB, which was provided by letter dated January 16, 2004 (received by fax at the Federal Cartel Office on the same day). This letter particularly supplemented the mandatory information required under § 39 Abs. 3 S. 2 Nr. 2 (in conjunction with S. 3) regarding the business operations of affiliated companies.  </w:t>
        <w:br/>
        <w:t xml:space="preserve">1. Companies involved  </w:t>
        <w:br/>
        <w:t xml:space="preserve">1.1 Acquirer  </w:t>
        <w:br/>
        <w:t xml:space="preserve">3. The fields of activity of L&amp;P include the production and distribution of components for furniture and commercial furnishings, including components made of wire – and for this purpose the operation of wire drawing facilities – as well as foam materials and elastic fabrics for bedding and seating components.  </w:t>
        <w:br/>
        <w:t>1 The company's website lists the following five fields of activity: Residential Furnishings (Bedding Components, Home Furniture Components, Foam, Fiber, Non-Fashion Construction Fabrics, Ornamental Beds, Steel Bedding Support, Coated Fabrics, Adjustable Beds, Lumber), Commercial Fixturings &amp; Components (Retail Fixtures, Point of Purchase Fixtures, Storage/Material Handling, Office Furniture Components, Plastics), Aluminum Products (Aluminum Die Castings, Magnesium &amp; Zinc Die Castings), Industrial Materials (Steel Wire, Welded Steel Tubing, Bale Ties &amp; Components) and Specialized Products (Auto Seat</w:t>
      </w:r>
    </w:p>
    <w:p>
      <w:r>
        <w:rPr>
          <w:b/>
        </w:rPr>
        <w:t>[Pages 4–6]</w:t>
      </w:r>
    </w:p>
    <w:p>
      <w:r>
        <w:t>4. In Germany, the following subsidiaries of L&amp;P are located:</w:t>
        <w:br/>
        <w:t>· L&amp;P Automotive Europe GmbH, Hemer-Ihmert</w:t>
        <w:br/>
        <w:t>· L&amp;P Fahrzeug- und Matratzenkomponenten GmbH &amp; Co. KG, Hemer-Ihmert (“L&amp;P FM”)</w:t>
        <w:br/>
        <w:t>· L&amp;P Fahrzeug- und Matratzenkomponenten Geschäftsführung GmbH, Hemer-Ihmert</w:t>
        <w:br/>
        <w:t>· L&amp;P Springs Deutschland GmbH, Niederfüllbach</w:t>
        <w:br/>
        <w:t>· Schukra Europa GmbH, Nürnberg</w:t>
      </w:r>
    </w:p>
    <w:p>
      <w:r>
        <w:t>5. In addition to L&amp;P Springs Deutschland GmbH, L&amp;P also has the following production facilities for innersprings across Europe:</w:t>
        <w:br/>
        <w:t>· L&amp;P Springs UK, Barnoldswick (United Kingdom);</w:t>
        <w:br/>
        <w:t>· L&amp;P Springs UK, Royston (United Kingdom);</w:t>
        <w:br/>
        <w:t>· L&amp;P Springs Denmark A/S, Tistrup (Denmark);</w:t>
        <w:br/>
        <w:t>· L&amp;P Springs España, SL, Martos (Spain);</w:t>
        <w:br/>
        <w:t>· L&amp;P Springs España, SL, Cadrete (Spain);</w:t>
        <w:br/>
        <w:t>· L&amp;P Springs España, SL, Zamudio (Spain);</w:t>
        <w:br/>
        <w:t>· L&amp;P Springs Italia, Srl, Milan (Italy);</w:t>
        <w:br/>
        <w:t>· L&amp;P tehnologije d.o.o, Prelog (Croatia);</w:t>
        <w:br/>
        <w:t>· L&amp;P Springs, Kovrov (Russia).</w:t>
      </w:r>
    </w:p>
    <w:p>
      <w:r>
        <w:t>6. L&amp;P's subsidiaries Spühl AG, Wittenbach (Switzerland), Fides S.r.l., Forli (Italy), and Innovatech International SA, Athens (Greece) are manufacturers of wire processing machines for the production of innersprings.</w:t>
      </w:r>
    </w:p>
    <w:p>
      <w:r>
        <w:t>7. In the fiscal year 2002, L&amp;P's revenues amounted to € 4518 million worldwide (EU: € [&gt; 250 million], Germany: € [50 – 60 million]), in the fiscal year 2003 € 3879 million.</w:t>
      </w:r>
    </w:p>
    <w:p>
      <w:r>
        <w:t>1.2 Target Company</w:t>
      </w:r>
    </w:p>
    <w:p>
      <w:r>
        <w:t>8. AGRO specializes in suspensions for furniture and mattress pads and covers the areas of development, design, manufacturing, distribution, marketing, and sales. The sole shareholder of AGRO is Mr. Wolfgang Grothaus. Mr. Grothaus also holds a (minority) stake in GNV GmbH, Bad Essen. However, this company is not active in any of the business areas affected by the merger, and the other shareholders of GNV GmbH are not involved in companies operating in the business areas affected by the merger.</w:t>
      </w:r>
    </w:p>
    <w:p>
      <w:r>
        <w:t>9. Companies affiliated with AGRO pursuant to § 36 Abs. 2 S. 1 GWB (subsidiaries) are:</w:t>
        <w:br/>
        <w:t>· Federkern Sommerschenburg GmbH, Badeleben (100% stake)</w:t>
        <w:br/>
        <w:t>This company currently does not conduct any business operations but is expected to take over activities in the field of wire drawing after the merger.</w:t>
        <w:br/>
        <w:t>· Herkules Polsterfederungen GmbH, Witzenhausen (51.2% stake)</w:t>
        <w:br/>
        <w:t>The aforementioned company does not engage in any business activities but holds all shares in the following Polish subsidiary.</w:t>
        <w:br/>
        <w:t>· Herkules Sp. z o.o., Szamotouly (Poland)</w:t>
        <w:br/>
        <w:t>This company is engaged in the development, design, manufacturing, distribution, marketing, and sales of suspensions, furniture, and mattress pads, and similar products.</w:t>
      </w:r>
    </w:p>
    <w:p>
      <w:r>
        <w:t>The focus of the business activity is the production of innersprings for seating furniture, with the Polish market as the main sales area.</w:t>
      </w:r>
    </w:p>
    <w:p>
      <w:r>
        <w:t>10. AGRO's revenues amounted to € [65 - 75 million] in the fiscal year 2002 (EU: € [40 - 50 million], Germany: € [10 – 20 million]), and in the fiscal year 2003 € [70 - 80 million].</w:t>
      </w:r>
    </w:p>
    <w:p>
      <w:r>
        <w:t>11. [Contractual relationships with mollana].</w:t>
      </w:r>
    </w:p>
    <w:p>
      <w:r>
        <w:t>2. Merger Project</w:t>
      </w:r>
    </w:p>
    <w:p>
      <w:r>
        <w:t>12. The entire business assets of AGRO are to be fully transferred to L&amp;P Fahrzeug- und Matratzenkomponenten GmbH &amp; Co. KG, Hemer-Ihmert (“L&amp;P FM”). L&amp;P FM, along with its sister companies, is to take over the production and distribution of so-called “resilient support components” (spring support systems and support system components) or “RSC” throughout Europe.</w:t>
      </w:r>
    </w:p>
    <w:p>
      <w:r>
        <w:t>13. Mr. Grothaus is to assume the position of managing director of L&amp;P FM after the merger and will also oversee the production of “RSC” for mattress pads for L&amp;P across Europe.</w:t>
      </w:r>
    </w:p>
    <w:p>
      <w:r>
        <w:t>3. Procedural History</w:t>
      </w:r>
    </w:p>
    <w:p>
      <w:r>
        <w:t>14. To ascertain the market conditions, the decision division sent questionnaires to the following companies: 9 domestic manufacturers of springs/innersprings, 69 foreign (actual or presumed) manufacturers of springs/innersprings (without subsidiaries of domestic companies), 236 domestic companies that manufacture mattresses and/or...</w:t>
      </w:r>
    </w:p>
    <w:p>
      <w:r>
        <w:t>5 Letter dated March 3, 2004; similar letters were also sent to later identified market participants. It turned out that all other domestic companies mentioned by the parties and identified by the decision division are not engaged in the production of innersprings. For the distinction of the various types of innersprings, see paragraph 79.</w:t>
      </w:r>
    </w:p>
    <w:p>
      <w:r>
        <w:t>6 Letter dated March 4, 2004, as well as email correspondence dated March 16, 2004; similar letters were also sent to later identified market participants. These companies were predominantly named by the parties involved in the merger. It cannot be ruled out that a significant portion of these companies no longer produce innersprings; one of the letters could not be delivered.</w:t>
      </w:r>
    </w:p>
    <w:p>
      <w:r>
        <w:rPr>
          <w:b/>
        </w:rPr>
        <w:t>[Pages 7–9]</w:t>
      </w:r>
    </w:p>
    <w:p>
      <w:r>
        <w:t>manufactured upholstered furniture or sofa beds, domestic manufacturers of vehicle seats, and four manufacturers of wire processing machines.</w:t>
      </w:r>
    </w:p>
    <w:p>
      <w:r>
        <w:t>15. On March 11, 2004, the only known domestic innerspring dealer to the decision division, CHK Handelsgesellschaft, was also contacted with a questionnaire.</w:t>
      </w:r>
    </w:p>
    <w:p>
      <w:r>
        <w:t>16. Furthermore, based on a list from the Dutch association Centrale Bond van Meubelfabrikanten, six mattress manufacturers in Belgium and the Netherlands were contacted with a questionnaire on March 11, 2004.</w:t>
      </w:r>
    </w:p>
    <w:p>
      <w:r>
        <w:t>17. On March 19, 2004, the umbrella associations of mattress manufacturers in Austria, France, Italy, and Spain were contacted with a questionnaire, requesting their own statements and/or forwarding the questionnaires to their member companies.</w:t>
      </w:r>
    </w:p>
    <w:p>
      <w:r>
        <w:t>18. The Swedish company Hilding Anders also received a customer questionnaire on March 5, 2004.</w:t>
      </w:r>
    </w:p>
    <w:p>
      <w:r>
        <w:t>19. To subject the results obtained to a further review and, in particular, to capture possible innerspring imports from outside Europe, the decision division again contacted the 13 largest domestic innerspring purchasers by telephone in August 2004 regarding innerspring suppliers, price developments, and alternatives for the customers in the event of price increases.</w:t>
      </w:r>
    </w:p>
    <w:p>
      <w:r>
        <w:t>20. In a letter dated April 16, 2004, the decision division informed the parties of the reasons for the intended prohibition and provided them with an opportunity to respond.</w:t>
      </w:r>
    </w:p>
    <w:p>
      <w:r>
        <w:t>21. The highest state authority of North Rhine-Westphalia was given the opportunity to comment on April 19, 2004, and did not express any opinion on the proposal.</w:t>
      </w:r>
    </w:p>
    <w:p>
      <w:r>
        <w:t>22. The highest state authority of Lower Saxony was given the opportunity to comment on April 19, 2004, and expressed its opinion in a letter dated June 4, 2004, particularly stating that the end consumer is indifferent regarding the "interior" of a purchased mattress, so that mattresses with different support materials are interchangeable products.</w:t>
      </w:r>
    </w:p>
    <w:p>
      <w:r>
        <w:t>23. In a letter dated April 23, 2004, the parties agreed to an extension of the decision deadline until June 25, 2004, and in a letter dated June 8, 2004, to a further extension of the decision deadline until September 30, 2004.</w:t>
      </w:r>
    </w:p>
    <w:p>
      <w:r>
        <w:t>24. The requests of the parties for access to the files were met by sending documents (file contents and questionnaires filled out by market participants, each in copy, redacted for trade secrets) in letters dated April 2, 2004, April 23, 2004, May 3, 2004, and May 7, 2004. Additionally, updated evaluation tables and questionnaires received by the decision division were transmitted to the parties on June 16, 2004, August 27, 2004, and September 15, 2004 (each redacted for trade secrets).</w:t>
      </w:r>
    </w:p>
    <w:p>
      <w:r>
        <w:t>25. After an initial meeting between the parties involved in the merger and the decision division on February 18, 2004, at the premises of the Federal Cartel Office, a company visit took place at AGRO in Bad Essen on February 26, 2004, followed by another meeting between the parties involved in the merger and the decision division. The parties involved in the merger also had the opportunity to present their position during discussions with the decision division at the premises of the Federal Cartel Office on April 6, 2004, and September 16, 2004.</w:t>
      </w:r>
    </w:p>
    <w:p>
      <w:r>
        <w:t>26. The Syndicat Français de la Literie and SA Compagnie Continentale Simmons requested to be joined to the proceedings in a letter from their legal representative dated April 14, 2004.</w:t>
      </w:r>
    </w:p>
    <w:p>
      <w:r>
        <w:t>27. In a letter dated April 27, 2004, the parties raised objections to the joinder, as there was particularly a lack of significant impairment of the applicants' own interests. The applicants were given another opportunity to respond in a letter dated April 29, 2004, until May 6, 2004, which was received by the decision division on May 11, 2004. The decision division rejected the joinder request by decision dated May 28, 2004, on the grounds that a joinder would not be conducive to the proceedings, especially since the applicants' submissions did not contain any new aspects.</w:t>
      </w:r>
    </w:p>
    <w:p>
      <w:r>
        <w:t>28. The parties have made several statements in response to the warning letter dated April 16, 2004, during the course of the proceedings, in which they essentially stated the following:</w:t>
      </w:r>
    </w:p>
    <w:p>
      <w:r>
        <w:t>29. The parties complain that the decision division did not grant them a sufficient hearing, as particularly significant contents of the questionnaires from market participants were redacted or removed, making it impossible to verify the decision division's findings.</w:t>
      </w:r>
    </w:p>
    <w:p>
      <w:r>
        <w:t>30. Furthermore, the questionnaires are not usable, as they lack the signature of an authorized representative from the contacted company. Only in this way can the accuracy of the information be ensured.</w:t>
      </w:r>
    </w:p>
    <w:p>
      <w:r>
        <w:t>31. The surveys conducted by the decision division are also not representative. This is primarily due to the fact that an insufficient number of market participants were contacted. The exclusion of companies with an innerspring purchasing volume of up to €10,000 in 2003 also represents an arbitrary selection of customers. Moreover, the market volume for innersprings for use in mattresses and upholstered furniture was set by the decision division far too low, as evidenced by a comparison with the figures from the Federal Statistical Office.</w:t>
      </w:r>
    </w:p>
    <w:p>
      <w:r>
        <w:t>32. Apart from that, the market delineation represented by the decision division is too narrow. It does not take into account the indifference of end consumers when purchasing a mattress regarding the materials used in the mattress.</w:t>
      </w:r>
    </w:p>
    <w:p>
      <w:r>
        <w:rPr>
          <w:b/>
        </w:rPr>
        <w:t>[Pages 10–12]</w:t>
      </w:r>
    </w:p>
    <w:p>
      <w:r>
        <w:t>support material. This indifference also affects the preceding market levels. Accordingly, other support materials such as foam or latex should also be included in the relevant market.</w:t>
      </w:r>
    </w:p>
    <w:p>
      <w:r>
        <w:t>32. The geographic market delineation represented by the decision division is also incorrect; a broader market than the national market must be assumed.</w:t>
      </w:r>
    </w:p>
    <w:p>
      <w:r>
        <w:t>33. Furthermore, the decision division underestimated the role of current and potential competitors. In particular, the decision division did not sufficiently appreciate the significance of innerspring imports from abroad. Moreover, the exercise of market power is not possible despite a high market share.</w:t>
      </w:r>
    </w:p>
    <w:p>
      <w:r>
        <w:t>B. Reasons</w:t>
      </w:r>
    </w:p>
    <w:p>
      <w:r>
        <w:t>1. Formal Prohibition Requirements</w:t>
      </w:r>
    </w:p>
    <w:p>
      <w:r>
        <w:t>1.1 Merger</w:t>
      </w:r>
    </w:p>
    <w:p>
      <w:r>
        <w:t>34. The acquisition of the entire business assets of AGRO by L&amp;P fulfills the merger criteria of § 37 Abs. 1 Nr. 1 and Nr. 2 GWB.</w:t>
      </w:r>
    </w:p>
    <w:p>
      <w:r>
        <w:t>1.2 Scope of Application of the GWB</w:t>
      </w:r>
    </w:p>
    <w:p>
      <w:r>
        <w:t>35. The project falls within the scope of German merger control due to the revenues of the involved companies (§ 35 Abs. 1 GWB). The thresholds according to Art. 1 Abs. 2 and 3 of the European Merger Control Regulation are not met, as at least AGRO does not achieve revenues of at least € 25 million in three member states or total community-wide revenues of over € 100 million.</w:t>
      </w:r>
    </w:p>
    <w:p>
      <w:r>
        <w:t>36. The project does not exclusively affect trivial markets within the meaning of § 35 Abs. 2 S.1 Nr. 2 GWB, so that the project is subject to antitrust control.</w:t>
      </w:r>
    </w:p>
    <w:p>
      <w:r>
        <w:t>37. An effect on the domestic market according to § 130 Abs. 2 GWB is present, as the acquirer and the company to be acquired are active in the domestic market.</w:t>
      </w:r>
    </w:p>
    <w:p>
      <w:r>
        <w:t>1.3 Investigations of the Decision Division</w:t>
      </w:r>
    </w:p>
    <w:p>
      <w:r>
        <w:t>38. During the proceedings, the parties involved in the merger repeatedly claimed that the principle of legal hearing had been violated due to insufficient access to the files. Furthermore, the investigation results of the decision division were not representative and therefore not reliable.</w:t>
      </w:r>
    </w:p>
    <w:p>
      <w:r>
        <w:t>1.3.1 Granting Legal Hearing</w:t>
      </w:r>
    </w:p>
    <w:p>
      <w:r>
        <w:t>39. The assertion of the parties involved in the merger that they were not granted sufficient legal hearing is incorrect. Rather, the decision division provided the parties involved in the merger with the opportunity to participate in the proceedings and to review the investigation results of the decision division based on the submitted files to check their substantive consistency.</w:t>
      </w:r>
    </w:p>
    <w:p>
      <w:r>
        <w:t>40. It is undisputed that the parties involved in the merger have a right to access the files. However, this right of access cannot be granted without regard to the impairment of the rights of third parties.</w:t>
      </w:r>
    </w:p>
    <w:p>
      <w:r>
        <w:t>41. In the context of file access in antitrust administrative proceedings, the confidentiality of trade secrets must be maintained. This follows for the parties from § 29 Abs. 2 and § 30 VwVfG. According to § 29 Abs. 2 VwVfG, the authority is not obliged to grant access to the files if and to the extent that the files contain trade secrets. However, according to general opinion, § 30 VwVfG is to be understood as an expression of a general legal principle and is to be applied analogously to the secrets of third parties that come to the knowledge of the authority in connection with an administrative procedure or even outside an administrative procedure.</w:t>
      </w:r>
    </w:p>
    <w:p>
      <w:r>
        <w:t>42. Trade and business secrets of a company are understood to be all facts known only to a limited group of people that are related to a business operation and to which the entrepreneur has a legitimate economic interest in maintaining confidentiality.</w:t>
      </w:r>
    </w:p>
    <w:p>
      <w:r>
        <w:t>43. The classification as a trade secret is determined by an objective concept, so that merely labeling something as a trade secret by the affected companies is not sufficient for the protection of the corresponding information. Accordingly, the decision division did not accept if a questionnaire was marked as confidential overall – without regard to the individual information. Conversely, the decision division also maintained trade secrets when a company completely omitted any labeling. The decision division gained a clear impression in numerous discussions with customers of innersprings that they wanted to avoid disclosing company data to the parties involved in the merger at all costs. This also applies, and especially so, to companies that themselves did not label trade secrets.</w:t>
      </w:r>
    </w:p>
    <w:p>
      <w:r>
        <w:t>44. Weighing the right of the surveyed companies to maintain trade secrets against the right of the parties involved to access the files, the decision division therefore applied a uniform standard for the redaction/extraction of trade secrets for all questionnaires in the exercise of its due discretion. The decision division also disclosed and explained this standard to the parties involved in the merger.</w:t>
      </w:r>
    </w:p>
    <w:p>
      <w:r>
        <w:t>45. Up to the limit of the level of protection deemed necessary by the decision division, which must not be exceeded with regard to the right of access to files of the parties involved, companies, however,</w:t>
      </w:r>
    </w:p>
    <w:p>
      <w:r>
        <w:rPr>
          <w:b/>
        </w:rPr>
        <w:t>[Pages 13–15]</w:t>
      </w:r>
    </w:p>
    <w:p>
      <w:r>
        <w:t>below this threshold a right of disposition over their company information is granted. If companies have independently and with recognizable care marked those pieces of information in the questionnaire that they considered confidential as trade secrets, only the information marked as trade secrets by the companies was redacted or removed by the decision division.</w:t>
      </w:r>
    </w:p>
    <w:p>
      <w:r>
        <w:t>46. Furthermore, the decision division provided the parties involved in the merger with aggregated overviews that do not allow conclusions to be drawn about individual companies. In this way, the parties involved in the merger gained insight into the essential parts of the questionnaire evaluation, although access to the information of individual companies could not be granted due to the protection of trade secrets. Based on the documents sent, the parties involved in the merger were in any case able to understand the reasoning of the decision division and to verify its consistency.</w:t>
      </w:r>
    </w:p>
    <w:p>
      <w:r>
        <w:t>1.3.2 Investigation Basis</w:t>
      </w:r>
    </w:p>
    <w:p>
      <w:r>
        <w:t>1.3.2.1 Competitors</w:t>
      </w:r>
    </w:p>
    <w:p>
      <w:r>
        <w:t>47. The determination of market conditions was carried out through a comprehensive survey of all domestic innerspring manufacturers and the majority of the foreign competitors named by the parties involved in the merger as well as those that became known during the course of the proceedings in the field of manufacturing innersprings made of wire springs for use in mattresses and upholstered furniture. A total of nine competitors of AGRO and L&amp;P were identified in the domestic market, including manufacturers of cylinder innersprings in favor of the parties involved in the merger. These include the companies Cziskat, Brande; EPZ Benderoth, Thalwenden; Evingser, Altena; Hoffmann, Seßlach; Sächsische Federkernfabrik, Crottendorf; PFK Federkern, Durlangen; Zellner, Itzgrund; Voss, Espelkamp, and mollana, Untersiemau.</w:t>
      </w:r>
    </w:p>
    <w:p>
      <w:r>
        <w:t>48. The responses from the domestic competitors to the sent questionnaire are fully available. Also, from all other companies named by the parties involved in the merger as domestic competitors, there are telephone or written responses indicating that they do not manufacture innersprings. Of the 69 foreign companies contacted as innerspring manufacturers, five responded to the questionnaire. Completed questionnaires were received from Charles Blyth, United Kingdom; Has Çelik, Turkey; Kelletts, Ireland; Mollificio Zandarin, Italy, and Stjernfjädrar AB, Sweden, as well as telephone information from Elson &amp; Robbins, United Kingdom. Additionally, information was received regarding TED, Bulgaria.</w:t>
      </w:r>
    </w:p>
    <w:p>
      <w:r>
        <w:t>49. Of these ten foreign-based companies, seven are currently represented as active competitors in the German market; the remaining competitors are active at least in the EU and Europe beyond that. The response from Stjernfjädrar, Sweden, is from the largest foreign competitor of the parties involved in the merger. It is not known what share of the contacted companies abroad are actually competitors. The high number of non-responses in the domestic market suggests that the parties involved in the merger were very generous in naming competitors and did not always know or ascertain the actual product range of the companies they named.</w:t>
      </w:r>
    </w:p>
    <w:p>
      <w:r>
        <w:t>1.3.2.2 Customers</w:t>
      </w:r>
    </w:p>
    <w:p>
      <w:r>
        <w:t>50. The customer-side investigations of the decision division were primarily based on a list of domestic mattress manufacturers provided by the parties involved in the merger as well as the membership list of the Gütegemeinschaft Matratzen e.V. On the side of upholstered furniture manufacturers, all members of the Association of the German Upholstered Furniture Industry were surveyed. Additionally, all companies listed on a customer list from AGRO were contacted. L&amp;P did not submit such a list.</w:t>
      </w:r>
    </w:p>
    <w:p>
      <w:r>
        <w:t>51. In total, the decision division contacted 236 domestic companies. Three letters were undeliverable; two companies did not respond to the sending of the questionnaire. 92 of the contacted companies do not purchase innersprings. Since the proportion of domestic companies named as competitors that are actually not active in the market is already quite high at more than 50%, it must be assumed that the competitor share among the foreign companies named by the parties involved in the merger is certainly not higher. In 22 other letters, companies were contacted twice or they were affiliated companies that had already been captured through the respective parent company.</w:t>
      </w:r>
    </w:p>
    <w:p>
      <w:r>
        <w:rPr>
          <w:b/>
        </w:rPr>
        <w:t>[Pages 16–18]</w:t>
      </w:r>
    </w:p>
    <w:p>
      <w:r>
        <w:t>number of innersprings used domestically, this discrepancy can be attributed to the fact that the official statistics may not fully capture the entire market, particularly with respect to smaller manufacturers and imports.</w:t>
      </w:r>
    </w:p>
    <w:p>
      <w:r>
        <w:t>65. The decision division has taken into account the market dynamics and the competitive landscape, which supports the findings regarding the market volume and the distribution of innerspring usage across different applications.</w:t>
      </w:r>
    </w:p>
    <w:p>
      <w:r>
        <w:t>66. In summary, the results of the investigation are deemed representative and provide a solid basis for assessing the competitive situation in the market for innersprings used in mattresses and upholstered furniture. The concerns raised by the parties involved in the merger do not undermine the validity of the findings.</w:t>
      </w:r>
    </w:p>
    <w:p>
      <w:r>
        <w:rPr>
          <w:b/>
        </w:rPr>
        <w:t>[Pages 19–21]</w:t>
      </w:r>
    </w:p>
    <w:p>
      <w:r>
        <w:t>Domestic production of innerspring mattresses23. However, this discrepancy can be attributed, according to the findings of the decision division, to the fact that the figures from the Federal Statistical Office do not accurately reflect the share of innerspring mattresses in total mattress production, as they report several hundred thousand innerspring mattresses too many. The decision division arrives at this conclusion based on the review of production figures for 2003 that mattress manufacturers submitted to the respective State Statistical Offices. Based on their reporting behavior, particularly the 13 largest domestic innerspring purchasers and the company Breckle GmbH, Northeim, one of the largest domestic mattress manufacturers with in-house production of innersprings, were surveyed. This revealed already erroneous reports amounting to approximately 600,000 units of innerspring mattresses, as under the reporting number 3615 12 700 (“Mattresses made of other materials with innerspring”) other mattress types (foam, latex, other materials) were also reported in large numbers to the relevant State Statistical Offices.</w:t>
      </w:r>
    </w:p>
    <w:p>
      <w:r>
        <w:t>65. A complete survey on the purchaser side was not sought at any time. Such a survey would have only been feasible with disproportionate effort, if at all. A survey can never fully represent reality. What is crucial, however, is that the survey provides a realistic picture of market conditions or, in other words, the results obtained must be representative.</w:t>
      </w:r>
    </w:p>
    <w:p>
      <w:r>
        <w:t>66. A survey is considered representative if a selection is made from a population such that no change in the statistical values is expected even with a larger number of data24. The representativeness is affirmed here, as there are no justified doubts that the companies relevant according to the innerspring purchasing volumes were captured. The parties involved in the merger have not substantiated at any point in the proceedings that the investigation and survey of additional mattress/upholstered furniture manufacturers would lead to a qualitative change in the statistically determined values. Rather, with regard to mattress manufacturers, they have not named a single significant domestic producer at any point in the proceedings that the decision division would have failed to survey25.</w:t>
      </w:r>
    </w:p>
    <w:p>
      <w:r>
        <w:t>67. Regarding upholstered furniture manufacturers, the decision division assumes a market capture of significantly over 80% in terms of the number of companies and innerspring purchasing volume. The survey conducted by the decision division also explicitly required that information be provided for the entire corporate group, ensuring that a comprehensive market capture was achieved even for companies with multiple active subsidiaries in the market, such as the Schieder or Steinhoff groups.</w:t>
      </w:r>
    </w:p>
    <w:p>
      <w:r>
        <w:t>68. In total, only two (i.e., less than 1%) of the surveyed domestic innerspring purchasers did not respond to the letters/inquiries from the decision division.</w:t>
      </w:r>
    </w:p>
    <w:p>
      <w:r>
        <w:t>69. A significant indication of the reliability of the data obtained from the purchaser side is, in any case, the high degree of capture of the innerspring purchasing volumes on the purchaser side. The innerspring purchasing volume determined for the evaluated companies amounts to approximately €30 million, while the decision division has determined revenues on the supplier side with innersprings for use in mattresses and upholstered furniture of approximately €33 million (see para. 63). Thus, over 90% of domestic innerspring sales were captured on the purchaser side. The missing 10% are likely attributable to unaccounted market participants, the purchasers mentioned in paras. 52 f., as well as those companies from which no response was received. With a capture rate of 90%, there can be no serious doubt about the representativeness of the data obtained from the purchaser side.</w:t>
      </w:r>
    </w:p>
    <w:p>
      <w:r>
        <w:t>1.3.3.2 Exclusion of purchasers of small innerspring quantities</w:t>
      </w:r>
    </w:p>
    <w:p>
      <w:r>
        <w:t>70. It was necessary and justified in substance, from a proportionality perspective, to disregard purchasers of small innerspring quantities in the investigation of reactions on the purchaser side.</w:t>
      </w:r>
    </w:p>
    <w:p>
      <w:r>
        <w:t>71. Measured against the total domestic innerspring purchasing volume, the small purchasers account for less than 1%. In this respect, these market participants represent a negligible size from the perspective of representativeness.</w:t>
      </w:r>
    </w:p>
    <w:p>
      <w:r>
        <w:t>72. Experience shows that such companies often have very limited market knowledge. This became evident in numerous contacts the decision division had with these companies, which often felt completely overwhelmed in making statements regarding the questions posed in the questionnaire. In this context, it should be noted that some companies only have an innerspring purchasing volume in the range of a few hundred euros.</w:t>
      </w:r>
    </w:p>
    <w:p>
      <w:r>
        <w:t>73. The decision division also obtained data on in-house production from non-/small purchasers of innersprings.</w:t>
      </w:r>
    </w:p>
    <w:p>
      <w:r>
        <w:t>1.3.4 Formal Usability of the Results</w:t>
      </w:r>
    </w:p>
    <w:p>
      <w:r>
        <w:t>74. The parties involved in the merger question the usability of the results obtained by pointing out that the questionnaires submitted to the decision division largely lack the signature of an authorized representative and therefore do not guarantee the accuracy of the information.</w:t>
      </w:r>
    </w:p>
    <w:p>
      <w:r>
        <w:t>75. This assertion by the parties involved in the merger is not valid. The letters from the decision division were addressed to the management of the affected companies, so it can be assumed that the management either took care of the proper completion of the questionnaire themselves or delegated this task to a trusted person.</w:t>
      </w:r>
    </w:p>
    <w:p>
      <w:r>
        <w:rPr>
          <w:b/>
        </w:rPr>
        <w:t>[Pages 22–24]</w:t>
      </w:r>
    </w:p>
    <w:p>
      <w:r>
        <w:t>76. As laid down in § 57 Abs. 1 GWB, the Federal Cartel Office can conduct all investigations and gather all evidence that is necessary. In this regard, the Federal Cartel Office, as derived from §§ 10, 26 Abs. 1 S.1, S. 2 Nr. 1 VwVfG, is free in the exercise of its discretionary powers concerning the choice of procedural form and the type of information and its collection. The decision division does not recognize any errors in discretion in this context. In particular, the decision division sees no reason, apart from the regularly occurring ambiguities and inaccuracies in answering questionnaires, to doubt the substantive correctness of the provided information.</w:t>
      </w:r>
    </w:p>
    <w:p>
      <w:r>
        <w:t>2. Material Prohibition Requirements</w:t>
      </w:r>
    </w:p>
    <w:p>
      <w:r>
        <w:t>2.1 Relevant Product Market</w:t>
      </w:r>
    </w:p>
    <w:p>
      <w:r>
        <w:t>77. The relevant product market of the merger project is the market for innersprings made of wire springs for use as support components in mattresses, sofa beds, and upholstered furniture. Innersprings made of wire springs consist of a varying number of individual springs connected by wiring, gluing, or clamping, depending on the size and quality of the innerspring.</w:t>
      </w:r>
    </w:p>
    <w:p>
      <w:r>
        <w:t>78. In the production of innersprings, the individual springs are first wound from wire and "tempered" by an electric shock (this achieves elasticity and prevents the spring from breaking). Depending on the machine used, Bonnell springs, barrel springs, cylinder springs, or lightweight innersprings (LFK) are produced, which can be designed differently based on the height, thickness, and "knotting" of the wire used, the number of turns, and the diameter. This significantly influences the quality of the innerspring. In the next step, the respective springs are either connected to form an innerspring with wire or placed in pockets in a fabric sheet. The gluing or clamping of the fabric sheets with springs also results in innersprings.</w:t>
      </w:r>
    </w:p>
    <w:p>
      <w:r>
        <w:t>79. There are Bonnell innersprings, pocket innersprings, and LFK. The former consist solely of wire and are made up of tapered springs, the so-called Bonnell springs, while pocket innersprings use barrel or cylinder springs that are housed in fabric pockets. In the case of LFK, the knotting of the wire spring ends is omitted. Both Bonnell and pocket innersprings and LFK can additionally be provided with a metal frame. Both Bonnell and pocket innersprings and LFK are usually rolled and pressed into bales for transport to the customer. Innersprings can be produced on various machines, e.g., fully automatically on transfer machines or with additional manual labor on different machines for winding on the one hand and connecting or gluing the individual springs on the other hand. The machines used are characterized by high flexibility in changeover, both in terms of the design of the springs and in terms of the dimensions of the innersprings. Thus, the machines can be converted from mattress-sized innersprings to cushion-sized ones within a short time with just a few adjustments and can also be adjusted in spring height. This production changeover flexibility exists within the respective spring types, but not between the machines for the different types of innersprings: Bonnell, pocket, and LFK.</w:t>
      </w:r>
    </w:p>
    <w:p>
      <w:r>
        <w:t>80. The relevant product market is to be delineated according to the demand market concept. According to this, "all products that are so closely related in their properties, their economic purpose, and their price level that the reasonable consumer compares them as suitable for satisfying a specific need in a justified manner and considers them interchangeable with each other (...) are market-equivalent." The primary focus is on functional interchangeability from the perspective of the market counterpart.</w:t>
      </w:r>
    </w:p>
    <w:p>
      <w:r>
        <w:t>81. The market counterpart of the manufacturers of innersprings made of wire springs are the manufacturers of mattresses, sofa beds, and upholstered furniture as well as the manufacturers of components for these products. The survey of the customers of the parties involved in the merger and other mattress and upholstered furniture manufacturers domestically and abroad has shown that no other products are manufactured from the innerspring units produced by the parties involved in the merger and their competitors. Innerspring units of this type are particularly not used in automobile seats and backrests, so this customer group is not among the demanders to be considered here.</w:t>
      </w:r>
    </w:p>
    <w:p>
      <w:r>
        <w:t>82. The manufacturers of mattresses, sofa beds, and upholstered furniture are a very heterogeneous group of demanders. Of the 236 companies surveyed, a total of 75 provided information suitable for evaluation, which (when comparing the sales determined by the manufacturers and the customers' purchasing volumes) accounts for approximately 92% of the domestic market volume of innersprings.</w:t>
      </w:r>
    </w:p>
    <w:p>
      <w:r>
        <w:rPr>
          <w:b/>
        </w:rPr>
        <w:t>[Pages 25–27]</w:t>
      </w:r>
    </w:p>
    <w:p>
      <w:r>
        <w:t>sales generated from innersprings. Of these 75 companies, 30 (40%) are pure mattress manufacturers, 23 (31%) are pure upholstered furniture manufacturers, and 19 (25%) produce both mattresses and upholstered furniture. The remaining three (4%) manufacture other products30 or mattresses and other products31. Of the pure mattress manufacturers, only one (3%) produces mattresses exclusively on an innerspring basis, while the others manufacture mattresses on both an innerspring basis and a foam and/or latex basis. Among the evaluated upholstered furniture manufacturers, eleven (48%) produce upholstered furniture exclusively on an innerspring basis, while the others manufacture upholstered furniture on both an innerspring basis and a foam and/or latex basis. Of the 19 manufacturers that produce both mattresses and upholstered furniture, four (21%) produce exclusively on an innerspring basis, while the rest manufacture mattresses and upholstered furniture on both an innerspring basis and a foam or latex basis.</w:t>
      </w:r>
    </w:p>
    <w:p>
      <w:r>
        <w:t>83. The majority of demanders thus process foam and latex alongside innersprings. Only among the innerspring users in the upholstered furniture industry is there a greater restriction to the innerspring as the exclusively processed support material. Accordingly, the significance of the responses from the innerspring purchasers regarding the question of the interchangeability of support materials and the competitive influences exerted mutually by the various support materials is substantial. Companies that use multiple support materials should theoretically be able to switch from one material to another at any time if the support materials were easily interchangeable. However, the results of the extensive and industry-wide investigations show a completely different picture. The purchasers overwhelmingly see no or at most very limited possibilities for replacing innersprings with other support materials.</w:t>
      </w:r>
    </w:p>
    <w:p>
      <w:r>
        <w:t>30 These are pre-fabricated innerspring-foam components.</w:t>
        <w:br/>
        <w:t>31 See previous footnote.</w:t>
      </w:r>
    </w:p>
    <w:p>
      <w:r>
        <w:t>84. The decision division requested information from the purchasers for the purpose of a factual market delineation regarding what substitution reactions they would undertake in the short term, i.e., within one year, or in the medium term, within a period of three years, if the general price level for innersprings were to increase by at least 10%. Additionally, the demanders were asked how the ordering behavior of their customers, i.e., the trade, is structured, particularly whether there is a fixed ordering behavior regarding the processed support materials, and whether there is a possibility to influence the trade in this regard.</w:t>
      </w:r>
    </w:p>
    <w:p>
      <w:r>
        <w:t>85. A total of 68 of the 75 evaluated companies answered the question of how a company would react if the general price level for innersprings increased by at least 10%. Of these 68 companies, 47 (69%) stated that it would not be possible to switch to other support components such as foam, latex, and others. 21 companies (31%) indicated that they could at least partially switch, with these companies stating on average that they would want to replace 26% of the innerspring quantities they had previously purchased.</w:t>
      </w:r>
    </w:p>
    <w:p>
      <w:r>
        <w:t>86. Even the numbers based on absolute values show a clear trend. However, a realistic picture of market movements in the event of at least a ten percent price increase can only be obtained by weighting the statements of the purchasers, i.e., relating the indicated substitution reactions to the market significance of the respective purchaser.</w:t>
      </w:r>
    </w:p>
    <w:p>
      <w:r>
        <w:t>87. Based on the known purchase quantities, specific substitution rates and quantities could be determined32. The significance of the results obtained in this manner is high, particularly as the results are also representative. The responses reflect the substitution behavior regarding a total of 97% of the market volume determined from the purchaser's side33. Accordingly, only 4% of the total innerspring purchasing volume on the purchaser's side would be replaced within one year by other support materials such as foam or latex, and this rate would increase to 7% over a three-year horizon. Thus, the innerspring purchase quantities would remain unchanged at nearly 93% even in the medium term, meaning that a price increase would have only a minor impact on the type of support material used.</w:t>
      </w:r>
    </w:p>
    <w:p>
      <w:r>
        <w:t>88. The significance of the results obtained is further enhanced by the fact that the question posed to the companies had no purely hypothetical character. In 2004, at the time of the survey, a price increase round was taking place due to the industry-wide rising raw material prices for wire springs, with price increases of approximately 5-8% for Bonnell springs and nearly 5% for pocket springs. The price increases of 2004 have now reached around 20% for pocket springs and over 30% for Bonnell springs. These price increases have been nearly fully implemented across the industry. Also, in light of these significantly over 10% current increases, the substitution rates indicated in the questionnaire under 5.2 were always adopted, regardless of how the preceding question (5.1 - behavior of companies in the event of a unilateral price increase by the parties involved in the merger) was answered. Margin indications were calculated with the respective average value. If a statement was made in the questionnaire at the question "If no, please explain why not," this was counted as "No," unless:</w:t>
      </w:r>
    </w:p>
    <w:p>
      <w:r>
        <w:t>- the possibility of a shift in "very small amounts" or similar was conceded; this was assessed by the decision division with a substitution rate of 20%;</w:t>
        <w:br/>
        <w:t>- it was indicated under 5.1 that a switch to other support materials was possible; if a rate was indicated there, it was adopted at 5.2.</w:t>
        <w:br/>
        <w:t>An explicit "Yes" (without subsequent rate indication) was assessed with a substitution rate of 100%. Where the possibility of "partial substitution" was conceded, this was assessed by the decision division with a substitution rate of 50%. If a response was given without reference to the question "If no..." that it depended on the market counterpart ("market," "customer"), this was assessed with a substitution rate of 50%.</w:t>
      </w:r>
    </w:p>
    <w:p>
      <w:r>
        <w:t>33 This, in turn, accounts for, as already stated, 92% of the sales volume determined from the manufacturer's side.</w:t>
      </w:r>
    </w:p>
    <w:p>
      <w:r>
        <w:rPr>
          <w:b/>
        </w:rPr>
        <w:t>[Pages 28–30]</w:t>
      </w:r>
    </w:p>
    <w:p>
      <w:r>
        <w:t>Price increases in 2004 have not yet resulted in any demand declines beyond the already determined rates.</w:t>
      </w:r>
    </w:p>
    <w:p>
      <w:r>
        <w:t>89. In August 2004, the decision division conducted a follow-up survey of the 13 most important customers of innersprings, who together represent over 70% of the demand market volume determined from the customer side, and found no significant substitution movements beyond the already determined diversion rates, either in the short or medium term. The customers almost uniformly indicate that they fundamentally cannot switch.</w:t>
      </w:r>
    </w:p>
    <w:p>
      <w:r>
        <w:t>At the same time, this survey revealed that for foams, which, unlike latex, could theoretically be considered as an alternative to the use of innersprings, prices have remained largely constant or even decreased since 2003. Price increases for foam are expected only to a minor extent. The surveyed companies consistently stated that the price movements of innersprings and foams occur completely independently of each other.</w:t>
      </w:r>
    </w:p>
    <w:p>
      <w:r>
        <w:t>90. The markets for the different support components innerspring, latex, and foam are to be regarded as independent markets. Even with the significant and industry-wide current price increases of innersprings, there is no tendency to switch to other support materials to a noteworthy extent. Even in the medium term, the level of innerspring procurement remains approximately constant at about 93% of the current level. There is no competitive relationship or even reaction connection between the markets for support materials, so the markets are to be considered in isolation for the purposes of merger law assessment.</w:t>
      </w:r>
    </w:p>
    <w:p>
      <w:r>
        <w:t>91. From the perspective of the customers, interchangeability of the materials is therefore excluded.</w:t>
      </w:r>
    </w:p>
    <w:p>
      <w:r>
        <w:t>92. The low willingness to switch to other support materials can also be explained by the responses to two supplementary questions. The innerspring customers were asked, on the one hand, what impact - regarding cushioning - the replacement of Bonnell and pocket springs with other support materials would have on production costs. Furthermore, the question was posed whether the demand from trade for mattresses/upholstered furniture with regard to the used support materials was targeted or indifferent.</w:t>
      </w:r>
    </w:p>
    <w:p>
      <w:r>
        <w:t>93. Regarding the question of changes in production costs when replacing innerspring cushioning with other support materials, about 40% of the Bonnell and pocket spring customers expressed their views: 30 out of a total of 74 evaluated Bonnell spring customers and 17 out of a total of 44 evaluated pocket spring customers. In relation to the market volume determined from the customer side, this corresponds to 36% for Bonnell springs and 46% for pocket springs.</w:t>
      </w:r>
    </w:p>
    <w:p>
      <w:r>
        <w:t>94. The surveyed companies provided very different information, which overall indicates that the use of other support materials instead of innersprings, while maintaining the original quality level, would be associated with considerable cost increases - in relation to the costs of cushioning. The most cost-effective alternative material is generally considered to be PU foam, which, if used instead of innersprings, would cause average production cost increases of 54% (compared to Bonnell springs) or 17% (pocket springs) regarding cushioning. Cost-saving potentials are predominantly seen only in the replacement of pocket springs with Bonnell springs or lightweight springs. Due to the relatively low response rate in relation to the other findings (the responses represent less than 50% of the market volume), the decision division assigns only indicative significance to these results.</w:t>
      </w:r>
    </w:p>
    <w:p>
      <w:r>
        <w:t>95. In contrast, the responses from the direct customers of innersprings regarding the demand behavior of trade are fully usable and also unequivocal. The innerspring customers overwhelmingly state that trade has clear requirements regarding the type of support material used, meaning that for mattresses or upholstered furniture, there is targeted demand for innerspring, foam, or latex products. Of the 45 usable responses to question 5.5 a of the customer questionnaire, 43 responses make this statement (96% of the usable responses and 99% of the purchasing volume of those companies that provided usable statements). Only two companies indicate that trade is indifferent regarding the support material (4% of the usable responses and 1% of the purchasing volume of those companies that provided usable statements).</w:t>
      </w:r>
    </w:p>
    <w:p>
      <w:r>
        <w:t>96. The responses regarding the influenceability of trade concerning the used support materials vary slightly. Of 58 usable responses to this question, 52 responses indicate that trade is not or only difficult to influence regarding the used support materials (90% of the usable responses and 98% of the purchasing volume of those companies that provided usable statements). Only six companies see the possibility of at least not significantly restricted influenceability of trade (10% of the usable responses and 2% of the purchasing volume of those companies that provided usable statements).</w:t>
      </w:r>
    </w:p>
    <w:p>
      <w:r>
        <w:t>97. As a reason for the given demand behavior of trade, it is often stated that the innerspring is firmly established as a quality feature.</w:t>
      </w:r>
    </w:p>
    <w:p>
      <w:r>
        <w:rPr>
          <w:b/>
        </w:rPr>
        <w:t>[Pages 31–33]</w:t>
      </w:r>
    </w:p>
    <w:p>
      <w:r>
        <w:t>therefore cannot be replaced. The (Bonnell) innerspring is furthermore indispensable as a support component in the price entry segment.</w:t>
      </w:r>
    </w:p>
    <w:p>
      <w:r>
        <w:t>98. The responses regarding the demand behavior of the trade also only allow the conclusion that the different support materials used in mattresses and upholstered furniture are products that are offered alongside each other and independently in various relevant markets.</w:t>
      </w:r>
    </w:p>
    <w:p>
      <w:r>
        <w:t>99. The innerspring is, due to its characteristics (e.g., good moisture transport, resilient body support), its reputation among consumers, and its cost-effectiveness, a distinct product that cannot be dispensed with. Whether, from the perspectives of health and durability, other support materials also provide comparable seating and lying comfort is irrelevant. The innerspring is still used in more than half of the mattresses produced in Germany, and substitution by foam and/or latex does not occur in the short term, but rather gradually and over a longer period. The sustained high proportion of innersprings and the slow increase over time in the share of mattresses with other support components suggest that consumers, contrary to the assumptions of the parties involved in the merger, are by no means indifferent regarding the material basis of the mattress.</w:t>
      </w:r>
    </w:p>
    <w:p>
      <w:r>
        <w:t>100. To meet this demand structure, the trade must offer all types of mattresses and cannot forgo the offering of innerspring products as a supplier of a range. The production of innersprings must therefore be delineated as its own relevant market. Manufacturers of innersprings compete with each other in this market, but not with manufacturers of other support materials.</w:t>
      </w:r>
    </w:p>
    <w:p>
      <w:r>
        <w:t>101. Within the market for innersprings, further differentiation by the type of springs, i.e., by Bonnell springs, pocket springs, or LFK, or by the type of use in mattresses, sofa beds, or upholstered furniture, is not warranted. A differentiation by type of use is not appropriate due to the high production changeover flexibility of all manufacturers and the given diversification within their production programs. AGRO itself produces for all three areas of use on similar machines. L&amp;P is also represented as a supplier for all product areas, at least in the EU. Among the competitors, Hoffmann, Seßlach, as well as mollana, Untersiemau, and the Sächsische Federkernfabrik, Crottendorf, are represented in all product areas, although to a lesser extent in the case of mattress innersprings. These suppliers together already represent around 80% of the domestic market volume of innersprings for mattresses, sofa beds, and upholstered furniture, and they have indicated that a conversion of the existing machine stock to the production of mattress innersprings is possible. Production at all suppliers predominantly takes place on similar machines from Spühl AG, Switzerland, a subsidiary of L&amp;P. These machines can be set up with a few adjustments or modifications in a short time to produce the desired mattress or upholstery formats, allowing for considerable flexibility in production regarding the length, height, and width of the products.</w:t>
      </w:r>
    </w:p>
    <w:p>
      <w:r>
        <w:t>102. A differentiation between pocket springs and Bonnell springs also seems unnecessary, as the supply and demand structure in both segments is essentially the same. The suppliers of innersprings encounter the same customers, particularly among mattress manufacturers, from whom the majority of demand originates. The parties to the merger, as well as Hoffmann, which counts among the few significant competitors in any market delineation, cover the entire range of innerspring types. EPZ, however, achieves its strong position in the pocket spring segment through specialization in this type of innerspring.</w:t>
      </w:r>
    </w:p>
    <w:p>
      <w:r>
        <w:t>103. Ultimately, it can remain open whether Bonnell springs and pocket springs belong to a single market or separate relevant markets. Due to the somewhat weaker position of the parties involved in the merger in the pocket spring segment, the assumption of a single market in the calculation of market shares does not disadvantage the parties involved in the merger, but rather lowers the joint share. However, to provide a complete picture of market activity, the respective market shares for the overall market and for the segments of Bonnell and pocket springs will be presented, with the decision division focusing on the overall market as the correctly considered market, without the consideration of the sub-markets leading to different results.</w:t>
      </w:r>
    </w:p>
    <w:p>
      <w:r>
        <w:t>104. In summary, the decision division sees no reason to follow the significantly broader market delineation proposed by the parties involved in the merger. It firmly maintains the delineation of the relevant market as the market for innersprings made of wire springs for use in mattresses and upholstered furniture.</w:t>
      </w:r>
    </w:p>
    <w:p>
      <w:r>
        <w:t>2.2 Relevant Geographical Market</w:t>
      </w:r>
    </w:p>
    <w:p>
      <w:r>
        <w:t>105. The market is geographically limited to the territory of the Federal Republic of Germany. The geographical market delineation is normatively restricted to the federal territory, but it must also capture the actual economic conditions. Even with such an economic consideration, the delineation of a national market remains.</w:t>
      </w:r>
    </w:p>
    <w:p>
      <w:r>
        <w:rPr>
          <w:b/>
        </w:rPr>
        <w:t>[Pages 34–36]</w:t>
      </w:r>
    </w:p>
    <w:p>
      <w:r>
        <w:t>106. The customer-side investigations have shown that in 2003, only about 9% of the innersprings sold in Germany were imports, of which [&gt; 70%] were accounted for by deliveries from L&amp;P. The competitive conditions in the domestic market are therefore significantly shaped by the competitors operating domestically and are not subject to any significant influences from abroad.</w:t>
      </w:r>
    </w:p>
    <w:p>
      <w:r>
        <w:t>107. The downstream market for innerspring mattresses is likewise a national market; according to official statistics, exports and imports were each around 7% of domestic production in 2003. Therefore, there is no significant competitive pressure on the domestic market from mattress imports and thus indirectly from the innersprings produced abroad for these imports. Furthermore, the investigations indicate that in a market encompassing the EU15 or Europe, the parties involved in the merger would have even higher market shares than could be determined for the domestic market. Thus, even with such a broader market delineation, the result of the competitive assessment would remain unchanged.</w:t>
      </w:r>
    </w:p>
    <w:p>
      <w:r>
        <w:t>2.3 Competitive Assessment of the Merger</w:t>
      </w:r>
    </w:p>
    <w:p>
      <w:r>
        <w:t>108. The merger leads to the establishment of a dominant market position of the parties involved in the merger in the domestic market for wire innersprings for use in mattresses and upholstered furniture. It cannot be ruled out that AGRO already had a dominant position prior to the merger with a market share of [40 – 50]%, or [50 – 60]% including mollana, and that this market position is strengthened by the merger. Dominant positions would also arise if the relevant markets were based on the markets for Bonnell innersprings for use in mattresses and upholstered furniture and for pocket springs for use in mattresses and upholstered furniture.</w:t>
      </w:r>
    </w:p>
    <w:p>
      <w:r>
        <w:t>45 The decision division assumes, as stated in paragraph 64, a lower market volume, so that the import or export quota would be in the range of 8 – 9%.</w:t>
      </w:r>
    </w:p>
    <w:p>
      <w:r>
        <w:t>2.3.1 Calculation of Market Shares</w:t>
      </w:r>
    </w:p>
    <w:p>
      <w:r>
        <w:t>2.3.1.1 Attribution of mollana</w:t>
      </w:r>
    </w:p>
    <w:p>
      <w:r>
        <w:t>109. As stated in paragraph 11, there are contracts and other interconnections between AGRO and mollana that exclude any competition between the companies. AGRO holds the leading position in the relationship between the two companies, so that the competitive attribution is fully justified. Therefore, the common market share obtained through the merger will subsequently refer to the sum of the shares of AGRO, mollana, and L&amp;P. Ultimately, however, the attribution of mollana could even be left open in the result, as the competitive statement would remain the same.</w:t>
      </w:r>
    </w:p>
    <w:p>
      <w:r>
        <w:t>2.3.1.2 Market Shares Based on Revenue</w:t>
      </w:r>
    </w:p>
    <w:p>
      <w:r>
        <w:t>110. All market shares were calculated based on revenues. Only by using revenues can the shares of the companies operating in the market be determined and presented in a comparable manner. Due to the very different sizes of innersprings and the different production structures of the individual market participants, the significance of the produced quantities and the corresponding shares is low. Furthermore, not all competitors were able to provide quantities or estimated this number because it is not available in their respective accounting, which would further limit the significance of quantitative market shares. Therefore, comparability of the data can only be established through the use of revenue data.</w:t>
      </w:r>
    </w:p>
    <w:p>
      <w:r>
        <w:t>2.3.1.3 In-House Production</w:t>
      </w:r>
    </w:p>
    <w:p>
      <w:r>
        <w:t>111. In-house production is not attributable to the market itself. Accordingly, in calculating the market shares, the in-house production of mattress or upholstered furniture manufacturers has not been added to the market volume. These manufacturers are therefore not recorded and listed as competitors with market shares. They do not appear in the market with their production but use the innersprings exclusively in their own mattresses or upholstered furniture and do not sell innersprings to third parties, with two exceptions. However, the existing in-house production must be taken into account in the overall competitive assessment of the market conditions.</w:t>
      </w:r>
    </w:p>
    <w:p>
      <w:r>
        <w:t>2.3.1.4 Calculation and Presentation Basis</w:t>
      </w:r>
    </w:p>
    <w:p>
      <w:r>
        <w:t>112. The market shares of the parties involved in the merger and their significant competitors are presented below. The market shares of the competitors are given in ranges to maintain the confidentiality of the revenue information provided by the competitors. The total revenue volume results from the sum of the revenues of all competitors for which information is available. For the domestic market, these revenues are fully available. According to the investigations of the decision division, no significant revenues with innersprings have been generated in Germany by companies operating abroad. This is evident from the responses received from foreign competitors and from the responses of customers, who name almost no other manufacturers of innersprings than those who have fully reported their revenues and are included in the market volume with their revenues. Minor innerspring imports reported by customers from such suppliers, for whom the decision division has no information, have also been added to the market volume.</w:t>
      </w:r>
    </w:p>
    <w:p>
      <w:r>
        <w:t>113. The decision division therefore assumes an almost complete capture of the domestic market volume of innersprings for use in mattresses and upholstered furniture. The obtained</w:t>
      </w:r>
    </w:p>
    <w:p>
      <w:r>
        <w:rPr>
          <w:b/>
        </w:rPr>
        <w:t>[Pages 37–39]</w:t>
      </w:r>
    </w:p>
    <w:p>
      <w:r>
        <w:t>Determination results also appear plausible in light of the domestic mattress production figures48.</w:t>
      </w:r>
    </w:p>
    <w:p>
      <w:r>
        <w:t>114. It cannot be ruled out that the data for the EU15 and Europe is not complete and that there are still competitors active here that do not appear in Germany. The market shares determined for the EU15 and Europe are likely somewhat overestimated because the actual market volume is higher. However, the significant competitors have been captured with their total revenues, so that the market shares for the EU15 and Europe would not significantly decrease compared to those presented.</w:t>
      </w:r>
    </w:p>
    <w:p>
      <w:r>
        <w:t>115. The market shares of the parties involved in the merger and their competitors in the market of wire spring innersprings for mattresses and upholstered furniture, as considered by the decision division in its competitive assessment, are as follows49:</w:t>
      </w:r>
    </w:p>
    <w:p>
      <w:r>
        <w:t>48 See also above para. 63 et seq.</w:t>
        <w:br/>
        <w:t>49 The production of the innerspring production facility acquired by L&amp;P in 2004 in Kovrov, Russia, has not yet been taken into account.</w:t>
      </w:r>
    </w:p>
    <w:p>
      <w:r>
        <w:t>Market shares based on 2003 sales of innersprings for mattresses and upholstered furniture in % (values rounded to whole percentage points50)</w:t>
      </w:r>
    </w:p>
    <w:p>
      <w:r>
        <w:t>Germany EU 15 Europe</w:t>
        <w:br/>
        <w:t>(18 (21 (24</w:t>
        <w:br/>
        <w:t>competitors) competitors) competitors)</w:t>
      </w:r>
    </w:p>
    <w:p>
      <w:r>
        <w:t>AGRO + Herkules [40 – 50] [20 – 30] [30 – 40]</w:t>
        <w:br/>
        <w:t>L&amp;P [10 – 20] [40 – 50] [40 – 50]</w:t>
        <w:br/>
        <w:t>Total [50 – 70] [60 – 80] [70 – 90]</w:t>
        <w:br/>
        <w:t>mollana &lt; 5 &lt; 5 &lt; 5</w:t>
        <w:br/>
        <w:t>Total incl. [60 – 70] [70 – 80] [70 – 90]</w:t>
        <w:br/>
        <w:t>mollana</w:t>
      </w:r>
    </w:p>
    <w:p>
      <w:r>
        <w:t>EPZ 10 – 20 5 – 10 5 – 10</w:t>
        <w:br/>
        <w:t>Hoffmann 5 - 10 &lt; 5 &lt; 5</w:t>
        <w:br/>
        <w:t>Sächsische 5 - 10 &lt; 5 &lt; 5</w:t>
        <w:br/>
        <w:t>Federkernfabrik</w:t>
        <w:br/>
        <w:t>Voss &lt; 5 &lt; 5 &lt; 5</w:t>
        <w:br/>
        <w:t>Stjernfjädrar &lt; 5 5 – 10 5 – 10</w:t>
        <w:br/>
        <w:t>Elson &amp; Robbins &lt; 5 5 – 10 &lt; 5</w:t>
        <w:br/>
        <w:t>All other &lt; 5 &lt; 5 &lt; 5</w:t>
        <w:br/>
        <w:t>competitors</w:t>
        <w:br/>
        <w:t>combined</w:t>
      </w:r>
    </w:p>
    <w:p>
      <w:r>
        <w:t>Market volume in 33 million Approx. 170 million Approx. 210 million</w:t>
        <w:br/>
        <w:t>€51</w:t>
      </w:r>
    </w:p>
    <w:p>
      <w:r>
        <w:t>50 Therefore, the totals here and in the following tables do not correspond to the summed individual values.</w:t>
        <w:br/>
        <w:t>51 The sum of the market volumes for Bonnell and pocket springs is lower here and in the following tables than the market volume of innersprings for mattresses and upholstered furniture. The difference is due to other innersprings such as lightweight springs and cylinder springs, which are not included in the Bonnell and pocket categories but have been considered in the total market volume.</w:t>
      </w:r>
    </w:p>
    <w:p>
      <w:r>
        <w:t>116. In a differentiation by the type of produced innersprings, which the decision division considers inappropriate, the following market share distributions arise:</w:t>
      </w:r>
    </w:p>
    <w:p>
      <w:r>
        <w:t>Market shares based on 2003 sales of Bonnell innersprings for mattresses and upholstered furniture in % (values rounded to whole percentage points)</w:t>
      </w:r>
    </w:p>
    <w:p>
      <w:r>
        <w:t>Germany EU Europe</w:t>
      </w:r>
    </w:p>
    <w:p>
      <w:r>
        <w:t>AGRO + Herkules [50 – 60] [30 – 40] [40 – 50]</w:t>
        <w:br/>
        <w:t>L&amp;P [5 – 10] [40 – 50] [30 – 40]</w:t>
        <w:br/>
        <w:t>Total [55 – 70] [70 – 90] [70 – 90]</w:t>
        <w:br/>
        <w:t>Mollana 5 – 10 &lt; 5 &lt; 5</w:t>
        <w:br/>
        <w:t>Total incl. [70 – 80] [80 – 90] [80 – 90]</w:t>
        <w:br/>
        <w:t>Mollana</w:t>
      </w:r>
    </w:p>
    <w:p>
      <w:r>
        <w:t>Hoffmann 10 – 20 &lt; 5 5 – 10</w:t>
        <w:br/>
        <w:t>Sächsische 5 – 10 &lt; 5 &lt; 5</w:t>
        <w:br/>
        <w:t>Federkernfabrik</w:t>
        <w:br/>
        <w:t>Others each &lt; 5 each &lt; 5 each &lt; 5</w:t>
        <w:br/>
        <w:t>competitors</w:t>
      </w:r>
    </w:p>
    <w:p>
      <w:r>
        <w:t>Market volume in € 18 million Approx. 80 million Approx. 110 million.</w:t>
      </w:r>
    </w:p>
    <w:p>
      <w:r>
        <w:rPr>
          <w:b/>
        </w:rPr>
        <w:t>[Pages 40–42]</w:t>
      </w:r>
    </w:p>
    <w:p>
      <w:r>
        <w:t>Market shares based on 2003 sales of pocket springs for mattresses and upholstered furniture in % (values rounded to whole percentage points)</w:t>
      </w:r>
    </w:p>
    <w:p>
      <w:r>
        <w:t>Germany EU 15 Europe</w:t>
        <w:br/>
        <w:t>AGRO + Herkules [30 – 40] [10 – 20] [20 – 30]</w:t>
        <w:br/>
        <w:t>L&amp;P [20 – 30] [40 – 50] [40 – 50]</w:t>
        <w:br/>
        <w:t>Total [50 – 60] [50 – 70] [60 – 70]</w:t>
        <w:br/>
        <w:t>EPZ 35 – 45 10 – 20 10 – 20</w:t>
        <w:br/>
        <w:t>Elson &amp; Robbins &lt; 5 10 – 20 10 – 20</w:t>
        <w:br/>
        <w:t>Hoffmann &lt; 5 &lt; 5 &lt; 5</w:t>
        <w:br/>
        <w:t>Stjernfjädrar &lt; 5 5 – 10 10 – 20</w:t>
        <w:br/>
        <w:t>All others &lt; 5 &lt; 5 &lt; 5</w:t>
        <w:br/>
        <w:t>competitors combined</w:t>
      </w:r>
    </w:p>
    <w:p>
      <w:r>
        <w:t>Market volume in € 13 million Approx. 70 million Approx. 80 million</w:t>
      </w:r>
    </w:p>
    <w:p>
      <w:r>
        <w:t>2.3.2 Competitive Assessment</w:t>
      </w:r>
    </w:p>
    <w:p>
      <w:r>
        <w:t>117. The parties involved in the merger will achieve a dominant market position in the market for the production of wire spring units for mattresses and upholstered furniture with a combined market share of more than 60% domestically, or will strengthen such a position. If the market were geographically extended to a European market, the market share of the parties involved in the merger would increase even further. Even if the market were divided into markets for Bonnell springs and pocket springs, the result of the competitive assessment would not change. The parties involved in the merger would achieve a combined share of [70 – 80%] in the domestic market for Bonnell springs and a combined share of [50 - 60%] in the market for pocket springs. Even in such delineated markets, the market share of the parties involved in the merger would significantly increase with the geographical expansion of the markets.</w:t>
      </w:r>
    </w:p>
    <w:p>
      <w:r>
        <w:t>118. Regardless of whether the market is delineated as a single market or divided into markets for Bonnell and pocket springs, the participating companies will have a superior market position relative to their competitors after the merger. This can be established by the significantly dominant market share and the predominantly medium-sized structure of the competitors, the financial strength, the control of the upstream machinery market by a subsidiary of the acquirer, the existing barriers to market entry, the insufficient potential competition, and the lack of alternatives for the market counterpart.</w:t>
      </w:r>
    </w:p>
    <w:p>
      <w:r>
        <w:t>119. The fact that, according to the current state of investigations, a separate market for pocket springs would not exceed the revenue threshold of § 35 Abs. 2 Nr. 2 GWB does not preclude a prohibition of the merger. First, it should be noted that this threshold is significantly exceeded in the market for Bonnell springs. A prohibition of the merger project would therefore already be warranted due to market dominance in this market. The economic weight of the merger, which arises among other things from the high market shares held by the parties involved in the merger and the associated harmful effects on competition, is very high, and the effects on at least two very closely adjacent markets are comparable. The markets for Bonnell and pocket springs have comparable supplier and demander structures, and the competitive structures deteriorate so significantly due to the merger in both sub-markets that the prohibition requirements would be met in each case. However, if a merger project affects several smaller markets in this way, a purpose-oriented interpretation of § 35 Abs. 2 Nr. 2 GWB contradicts its application. This would justify a prohibition even in a market for pocket springs. It can therefore remain undecided whether to assume two separate markets for Bonnell springs and pocket springs, each meeting the requirements of § 36 Abs. 1 GWB, or the single market assumed by the decision division.</w:t>
      </w:r>
    </w:p>
    <w:p>
      <w:r>
        <w:t>2.3.2.1 Fulfillment of the Market Dominance Presumption</w:t>
      </w:r>
    </w:p>
    <w:p>
      <w:r>
        <w:t>120. A combined market share of the parties involved in the merger of [50 - 70%] fulfills the market dominance presumption of § 19 Abs. 3 Satz 1 GWB. The evidence that the presumption is fulfilled arises from the following. Circumstances that would be suitable to refute the market dominance presumption are neither apparent nor have been presented by the parties involved in the merger.</w:t>
      </w:r>
    </w:p>
    <w:p>
      <w:r>
        <w:t>2.3.2.1 Market and Competitor Structure</w:t>
      </w:r>
    </w:p>
    <w:p>
      <w:r>
        <w:t>121. With a combined market share of [50 – 70%], the market share gap to the next competitor in the relevant market is clearly more than 40 percentage points. The gap to the two subsequent competitors is already significantly more than [40] percentage points each. All other competitors operate in the market with shares of significantly less than 5%. Therefore, the market shares of the parties involved in the merger exceed those of the competitors even more clearly than was the case for AGRO domestically before the merger.</w:t>
      </w:r>
    </w:p>
    <w:p>
      <w:r>
        <w:t>122. AGRO alone already exceeds the total revenues of approximately € [70 – 80] million of the domestic competitors by several times. None of the domestic competitors achieved total revenues of more than € [10 – 15] million per year in 2003. The domestic competitors are exclusively owner-managed companies whose business purpose is limited to the production of spring units.</w:t>
      </w:r>
    </w:p>
    <w:p>
      <w:r>
        <w:rPr>
          <w:b/>
        </w:rPr>
        <w:t>[Pages 43–45]</w:t>
      </w:r>
    </w:p>
    <w:p>
      <w:r>
        <w:t>With L&amp;P as the acquirer, a globally active company significantly strengthened its market position in Germany and Europe by acquiring the previously dominant competitor in Germany and the next largest competitor in Europe after the acquirer. The competitive conditions in the domestic market were aligned through the merger with the already unfavorable conditions in Europe. L&amp;P is engaged in the production of support components of all kinds for products of all kinds and is vertically integrated from wire production through machine production to the production of support components and the manufacture of mattresses and upholstered furniture of all kinds. L&amp;P's total global sales amounted to approximately € 4 billion in the past financial year. In Germany alone, approximately € [50 – 60 million] was generated in 2002.</w:t>
      </w:r>
    </w:p>
    <w:p>
      <w:r>
        <w:t>123. Through the merger, the two already dominant companies in terms of market shares and financial strength combined, resulting in small and medium-sized competitors being seriously threatened in their existence. In a price war initiated by the parties involved in the merger, these companies would have no chances in the medium term, and they would also not have the opportunity to compete with their own aggressive pricing policy against the inflated prices of the parties involved in the merger, as they do not possess the resources required for the respective behavioral strategies, unlike the parties involved in the merger. [...]</w:t>
      </w:r>
    </w:p>
    <w:p>
      <w:r>
        <w:t>124. Of the foreign competitors for which data is available, not a single company comes even close to the sales volume of AGRO alone. Furthermore, none of the competitors is, as far as known, part of a corporate group comparable to L&amp;P. Due to the very minimal sales that foreign competitors achieve in Germany, they do not represent a competitive counterweight in the domestic market. This applies equally to the EU and Europe.</w:t>
      </w:r>
    </w:p>
    <w:p>
      <w:r>
        <w:t>2.3.2.2 Superior Production Capacities</w:t>
      </w:r>
    </w:p>
    <w:p>
      <w:r>
        <w:t>125. The domestic competitors of the parties involved in the merger have a current production volume of just under 2.6 million innersprings per year and total capacities of approximately 4 million innersprings. The average capacity utilization of domestic competitors is therefore around 65%. The production volume of AGRO alone (excluding mollana) in the domestic market is far above the maximum capacity of all competitors combined at [10 – 15] million innersprings per year. The capacity utilization of AGRO is at [70 – 80%]. The domestic production quantity of L&amp;P is at [800,000 – 1,000,000] innersprings per year with a maximum capacity of [1 – 2 million] innersprings per year.</w:t>
      </w:r>
    </w:p>
    <w:p>
      <w:r>
        <w:t>126. If one includes the foreign competitors for which data is available and the production of domestic market participants abroad, the current total European production volume of competitors amounts to less than 7 million innersprings per year with a maximum capacity of under 10 million innersprings and an average capacity utilization of approximately 70%. The current total European production volume of AGRO (including Herkules in Poland) is just under [15 – 20] million innersprings per year; the maximum production capacity is [20 – 25] million innersprings. The current total European production volume of L&amp;P is approximately [5 – 10] million innersprings per year and the maximum production capacity is approximately [10 – 15] million innersprings per year. Together, the European production of the parties involved in the merger is at [20 – 30] million innersprings and the capacity is at [30 – 40] million innersprings. This corresponds to an average capacity utilization of the parties involved in the merger of [70 - 80%].</w:t>
      </w:r>
    </w:p>
    <w:p>
      <w:r>
        <w:t>127. Even if the foreign competitors and their data have not been fully determined and the actual production quantities and capacities should be higher, these figures clearly show the superiority with which the parties involved in the merger can operate in the market both before and especially after the merger. The theoretically available free capacities of the competitors are not even sufficient to attract more than one-eighth of the current total production of the parties involved in the merger. However, exercising effective competition and limiting the behavioral leeway of the parties involved in the merger by competitors would require that they be able to satisfy a significant part of the demand they could attract in competition. This is not possible given the current production capacities of the competitors.</w:t>
      </w:r>
    </w:p>
    <w:p>
      <w:r>
        <w:t>128. The parties involved in the merger would, for their part, be able to cover at least a large part of the total European production of the competitors with their existing free capacities. Their current production is several times the total production of the competitors both in Germany and Europe. This demonstrates that displacement strategies by the parties involved in the merger could easily be implemented, as the capacities for this are fully available.</w:t>
      </w:r>
    </w:p>
    <w:p>
      <w:r>
        <w:t>2.3.2.3 Dominance in the Upstream Market for Machines for Innerspring Production</w:t>
      </w:r>
    </w:p>
    <w:p>
      <w:r>
        <w:rPr>
          <w:b/>
        </w:rPr>
        <w:t>[Pages 46–48]</w:t>
      </w:r>
    </w:p>
    <w:p>
      <w:r>
        <w:t>129. The machinery equipment of manufacturers of innersprings in Germany and Europe is dominated by machines from Spühl AG, Switzerland, a 100% subsidiary of L&amp;P. In the production of Bonnell innersprings, more than [90%] of the over 400 machines used by all domestic and foreign market participants are from Spühl AG. In the production of pocket springs, of approximately 150 machines used, [&lt; 30] are from Spühl AG. Among the companies that engage in in-house production, [...] machines from Spühl AG are used.</w:t>
      </w:r>
    </w:p>
    <w:p>
      <w:r>
        <w:t>130. Due to the lack of responses from the machine manufacturer Remex, Switzerland, no reliable statement can be made regarding how machine sales were distributed among the various manufacturers over the past five years. However, the existing equipment of companies operating in the domestic and foreign markets suggests that the current market share of Spühl AG remains substantial. The innerspring manufacturers generally carry out maintenance of their machines themselves and also source some of the required spare parts from other companies. When acquiring a new machine type from another manufacturer, the existing know-how in handling the current machines cannot be transferred to the new machines, which would significantly complicate and increase the costs of operating and maintaining machines from other manufacturers.</w:t>
      </w:r>
    </w:p>
    <w:p>
      <w:r>
        <w:t>131. Competitors cannot practically do without machines and spare parts from the L&amp;P group. This further restricts their scope of action and gives L&amp;P another significant competitive advantage. This is not limited by any potential market for used machines. L&amp;P sells machines only under restrictive conditions. For instance, buyers must first offer the machines back to Spühl AG in the event of resale. This gives L&amp;P extensive control over the used machinery market. Additionally, certain machine types are only provided in connection with a comprehensive licensing agreement, which further complicates resale and ensures that all technical developments by users flow back to Spühl AG and thus indirectly to the competitor L&amp;P.</w:t>
      </w:r>
    </w:p>
    <w:p>
      <w:r>
        <w:t>Certain machine types have never been sold outside the L&amp;P group. For example, L&amp;P has also decided not to sell the machines CS-420 and CS-420 LFK outside its own corporate group anymore. These are particularly advanced automatic transfer machines that enable the production of multi-zone Bonnell innersprings in a single operation. The machines are significantly more efficient than the other machines used for innerspring production. The use of these machines leads to substantial cost advantages in production. L&amp;P has already ensured that such machines are not sold to competitors.</w:t>
      </w:r>
    </w:p>
    <w:p>
      <w:r>
        <w:t>132. This corporate strategy will not change even after a merger. This demonstrates the scope of action that L&amp;P already has in the upstream machinery market. These are already being used to the detriment of competitors in the downstream innerspring market, which further strengthens and secures the market position of the parties involved in the merger in this market. L&amp;P thus continues to have the opportunity to significantly influence the development of the market for wire spring innersprings both domestically and abroad. It is not even necessary for the existing possibilities to directly hinder competitors or in-house producers by withholding machines or spare parts or imposing restrictive supply and licensing conditions to be utilized. The comprehensive knowledge that L&amp;P possesses regarding the production resources of competitors and in-house producers is sufficient to reliably assess their production and cost structures. This information is a crucial factor in the competitive process when it comes to engaging in price wars or attracting new customers in competition and displacing competitors. Even in offers to customers who also engage in in-house production, it can be reliably estimated at what costs they carry out their in-house production.</w:t>
      </w:r>
    </w:p>
    <w:p>
      <w:r>
        <w:t>133. In the upstream machinery market, it is also not expected that the market and competitive conditions will improve due to the entry of other machine manufacturers in the future. Over the past five years, L&amp;P has generated an average of only approximately € [...] per year worldwide with these machines. For all of Europe, the average value is only about € [...] per year. It is questionable whether this market volume is sufficient to allow for a promising activity for third parties in this market and to make market entries in such a one-sidedly dominated market likely.</w:t>
      </w:r>
    </w:p>
    <w:p>
      <w:r>
        <w:t>2.3.2.4 Competitive Advantages in Accessing Procurement Markets</w:t>
      </w:r>
    </w:p>
    <w:p>
      <w:r>
        <w:t>134. Another advantage of the parties involved in the merger is their vertical integration. Unlike their competitors, AGRO has its own wire drawing facility for producing the wire used in spring production. This reduces AGRO's dependence on the upstream material stage. This represents another significant competitive advantage over other competitors who are unable to do so.</w:t>
      </w:r>
    </w:p>
    <w:p>
      <w:r>
        <w:t>135. Furthermore, the negotiating position of the parties involved in the merger with respect to external wire drawing facilities is significantly better than that of their competitors. The parties produce multiple times the quantities that competitors produce. Accordingly, their wire procurement volume is larger, and they have the ability to negotiate better prices with wire drawing facilities than their competitors.</w:t>
      </w:r>
    </w:p>
    <w:p>
      <w:r>
        <w:t>136. The parties involved in the merger counter that they, particularly AGRO, are also dependent on wire manufacturers. Even if such a dependency existed, it would not be sufficient to relativize the market position of the parties involved in the merger in the relevant market affected by the merger. Any potential dependency on wire manufacturers would affect all market participants, so that this would not lead to a competitive disadvantage for the parties involved in the merger.</w:t>
      </w:r>
    </w:p>
    <w:p>
      <w:r>
        <w:rPr>
          <w:b/>
        </w:rPr>
        <w:t>[Pages 49–51]</w:t>
      </w:r>
    </w:p>
    <w:p>
      <w:r>
        <w:t>the parties involved in the merger would not result in any particular disadvantages for the parties involved in the merger. In particular, none of the wire manufacturers have their own business interests in the market for innersprings. The price increases are likely to be particularly detrimental to the smaller customers. Due to their lower purchase volumes, their negotiating position with respect to the wire manufacturers is even worse than that of the parties involved in the merger. Because of their insignificant market position, they will generally not be able to pass on the price increase to their customers. However, the parties involved in the merger are able to do so. Both AGRO and L&amp;P have largely been able to pass the current price increases for raw materials onto their customers61.</w:t>
      </w:r>
    </w:p>
    <w:p>
      <w:r>
        <w:t>2.3.2.5 No Restriction of Competitive Behavior by In-House Production</w:t>
      </w:r>
    </w:p>
    <w:p>
      <w:r>
        <w:t>137. The in-house production of some customers is also not suitable to significantly restrict the competitive behavior of the parties involved in the merger or to relativize their market position facilitated by the merger. Although in-house production accounts for about one-third of the innersprings processed domestically for mattresses and upholstered furniture, it does not enable either the in-house producers or the other customers to credibly threaten evasive reactions against the parties involved in the merger and thus control their competitive behavior. With the exception of one in-house producer, all other innersprings must be purchased on the market to meet their own needs, whether in Bonnell or pocket springs or in both areas.</w:t>
      </w:r>
    </w:p>
    <w:p>
      <w:r>
        <w:t>138. Production for third parties occurs – if at all – only to an extremely limited extent and is not intended by the majority of the other in-house producers according to their own statements. This is also plausible. On the one hand, the available capacities of the in-house producers are not very high and are certainly not suitable to redirect significant demand from the parties involved in the merger to the in-house producers. The available capacities of the in-house producers were nominally less than 500,000 innersprings in 2003. Considering that mattress production has seasonal peaks, the actual free capacity theoretically available to the market is even lower, as during peak times, when all other mattress manufacturers express their needs, the capacity of the in-house producers is largely utilized and not available to the market. On the other hand, due to the direct competitive nature of the in-house producers, it can be ruled out that they will become active externally in a way that influences the market. It is neither in the interest of the in-house producers to supply competitors in the mattress or upholstered furniture market, nor will these competitors risk sourcing significant quantities there and thereby become dependent on a competitor. In the constantly occurring case of a direct competition situation for a customer, the in-house producer can always exploit the competitor's situation to their disadvantage.</w:t>
      </w:r>
    </w:p>
    <w:p>
      <w:r>
        <w:t>139. Therefore, in-house production is neither currently nor in the future particularly market-effective and is in no way suitable to limit the competitive behavior of the parties involved in the merger.</w:t>
      </w:r>
    </w:p>
    <w:p>
      <w:r>
        <w:t>2.3.2.6 No Potential Competition</w:t>
      </w:r>
    </w:p>
    <w:p>
      <w:r>
        <w:t>140. Contrary to the assertions of the parties involved in the merger, there is no competitive pressure from innerspring manufacturers in Eastern Europe, Turkey, China, or South Africa that would limit the behavior of the parties involved in the merger. The parties have stated that due to the significantly lower production costs in these countries, the parties involved in the merger are constantly exposed to the risk that these manufacturers would enter the market if the parties, for example, attempted to raise their prices. Even the mere attempt to raise prices would be abandoned, as the parties know that once these manufacturers enter the market, they would not fully exit even if price increases were reversed (the so-called hysteresis effect62). Thus, the prospect of permanently bringing additional competition into the market prohibits any non-competitive behavior, even with a potentially high market share.</w:t>
      </w:r>
    </w:p>
    <w:p>
      <w:r>
        <w:t>141. These theoretical considerations may be logically coherent. However, they overlook the observable and determined market reality.</w:t>
      </w:r>
    </w:p>
    <w:p>
      <w:r>
        <w:t>142. Both L&amp;P and AGRO have regularly implemented price increases in recent years. In particular, in 2002, significant price increases of up to 10% were enforced. The current increases are even significantly higher. Nevertheless, the current market investigation did not identify a single market entry from Eastern Europe, China, or South Africa. Only a few deliveries of small quantities from Turkey were identified. Their market significance is low, with the combined domestic market share of Turkish manufacturers being below 2%. Despite significant price increases, some of which date back several years, there has been no evidence of market entries by foreign manufacturers of innersprings.</w:t>
      </w:r>
    </w:p>
    <w:p>
      <w:r>
        <w:t>143. This result is not surprising, as the premises of the theories invoked by the parties are based on the assumption that the innersprings of domestic and foreign manufacturers are homogeneous goods and that delivery times, quantities, and costs do not play a significant role. However, this is not the case. While customers have made purchases of innerspring (test) purchases at least in Turkey, the local producers do not provide an alternative for domestic customers. Reasons cited include inadequate quality, low flexibility of manufacturers to switch, excessively high freight costs, and minimum order quantities that are too high, as well as too low delivery quantities and ultimately too long delivery times for the commonly used just-in-time production.</w:t>
      </w:r>
    </w:p>
    <w:p>
      <w:r>
        <w:t>62 See also the statement from Hengeler Mueller dated July 20, 2004, p. 60 ff. and Annexes 23 and 24 of the same letter.</w:t>
      </w:r>
    </w:p>
    <w:p>
      <w:r>
        <w:rPr>
          <w:b/>
        </w:rPr>
        <w:t>[Pages 52–54]</w:t>
      </w:r>
    </w:p>
    <w:p>
      <w:r>
        <w:t>144. These responses are very significant, as the motivation of the customers to seek alternative suppliers must be considerable, especially in light of the current high price increases. The mattress and upholstered furniture manufacturers, for their part, can only very limitedly pass on the price increases in the raw material sector to the trade.</w:t>
      </w:r>
    </w:p>
    <w:p>
      <w:r>
        <w:t>145. The claim of the parties involved that competitive pressure comes from potential foreign competitors must therefore be regarded as refuted in light of the actual market conditions.</w:t>
      </w:r>
    </w:p>
    <w:p>
      <w:r>
        <w:t>2.3.2.7 High Market Entry Barriers</w:t>
      </w:r>
    </w:p>
    <w:p>
      <w:r>
        <w:t>146. The dominance of the market for innersprings made from wire springs by the parties involved in the merger and the upstream market for machines for innerspring production by L&amp;P simultaneously restricts the opportunities for new competitors to enter the market and the expansion of the production capabilities of existing competitors. An expansion of the production capabilities of existing competitors must already fail due to the low chances of success of such a measure.</w:t>
      </w:r>
    </w:p>
    <w:p>
      <w:r>
        <w:t>147. A prerequisite for the expansion of production is the acquisition of machines. This already fails due to the provision of the necessary capital for this purpose. [...]. Furthermore, the procurement of capital is made more difficult by the fact that the possibilities for amortizing the invested capital are very low due to the existing market structure. Small competitors would have to reckon with the fact that their increased efforts in competition would not go unnoticed by the parties involved in the merger and would not be without reaction. Such a reaction could be a low-price strategy to eliminate the remaining competitors, which the competitors burdened by the additional external financing could not sustain for long.</w:t>
      </w:r>
    </w:p>
    <w:p>
      <w:r>
        <w:t>148. Therefore, from the perspective of competitors, the expansion of existing production capacities is not a sensible strategy. It would likely be much more effective to accept the price leadership of the parties involved in the merger and to continue working at this level with the given production resources, as long as this is economically justifiable.</w:t>
      </w:r>
    </w:p>
    <w:p>
      <w:r>
        <w:t>149. The entry of companies from within or outside the country as competitors is not expected for the same reasons, or at least not within the forecast period. The existing dominance of the parties involved in the merger provides no incentive to enter the market, because, as described above, the chances of success are extremely low. These considerations are valid regardless of whether machines from Spühl AG need to be procured or not. To the extent that a switch to machines from other manufacturers would be possible, this would also require a significant capital investment. However, due to the dominant market position of Spühl AG in the machinery market, additional procurement problems can be expected in the event of an expansion of production or a new entry, as Spühl AG can hinder and complicate both. At the same time, L&amp;P has the opportunity to initiate defensive measures early, namely already at the point of contact of a potential machine buyer with Spühl AG.</w:t>
      </w:r>
    </w:p>
    <w:p>
      <w:r>
        <w:t>2.3.2.8 Fragmentation and Lack of Alternatives on the Market Side</w:t>
      </w:r>
    </w:p>
    <w:p>
      <w:r>
        <w:t>150. On the customer side, due to their extensive fragmentation, there is no possibility to form a counterweight to the dominant position of the parties involved in the merger and to restrict their behavioral leeway. A total of 137 purchasers of innersprings have been identified domestically. The average purchasing volume for innersprings among the 75 evaluated customers is around €400,000 per year. Only 17 companies (23% of the evaluated companies) exceed this mark, while the remaining 58 companies (77% of the evaluated companies) fall significantly below it. Clearly over 40% of the evaluated companies have purchasing volumes of less than €100,000 per year. If all 137 identified customers are included in the evaluation, more than two-thirds of them purchase innersprings in an amount of less than €100,000 per year. Thus, their respective share of AGRO's domestic sales is significantly below 1%, and in relation to the global total sales, it is even in the range of 0.1%. With purchasing volumes of this magnitude, it is not possible for the demanders to exert countervailing pressure on the parties involved in the merger based on their purchasing quantities.</w:t>
      </w:r>
    </w:p>
    <w:p>
      <w:r>
        <w:t>151. It is true, however, that there are a few customers with significantly larger purchasing volumes. [...] However, large customers can credibly threaten to switch to competitors of the parties involved in the merger even less than small customers. [...] purchases approximately [...] million innersprings. This represents [...] of the currently determined total production of all competitors combined and exceeds the global total sales of innersprings of each individual competitor. None of the identified competitors would be able to supply [...] with innersprings in the mentioned volume. The demand volume exceeds the global total sales of innersprings of each of these competitors. Therefore, large customers are particularly dependent on the parties involved in the merger.</w:t>
      </w:r>
    </w:p>
    <w:p>
      <w:r>
        <w:t>152. The customers of innersprings also see no or only minimal opportunities to switch to other suppliers and products if the parties involved in the merger worsen the supply conditions. Due to the comprehensive investigations of the decision division, the switching reactions can be quantified very precisely. The customers were asked how they would react if the parties involved in the merger increased the prices for innersprings by 5 to 10%, and which quantities they would shift to which alternative suppliers63. It should again be emphasized how realistic the question was in light of current and significant price increases64.</w:t>
      </w:r>
    </w:p>
    <w:p>
      <w:r>
        <w:t>63 The responses were again weighted according to the shares of the respective customers in the total sales made with the parties involved in the merger. For the methodological approach to the evaluation, see the letter to the parties involved in the merger dated August 27, 2004, Annexes 5 – 8 (therein comments) as well as the essentially identical memorandum dated September 24, 2004. See also the overview presented to the parties involved in the merger during the meeting on September 16, 2004, by the decision division.</w:t>
      </w:r>
    </w:p>
    <w:p>
      <w:r>
        <w:t>64 Cf. para. 86.</w:t>
      </w:r>
    </w:p>
    <w:p>
      <w:r>
        <w:rPr>
          <w:b/>
        </w:rPr>
        <w:t>[Pages 55–57]</w:t>
      </w:r>
    </w:p>
    <w:p>
      <w:r>
        <w:t>153. On this basis, there would be a shift to foam and/or latex amounting to 2%. There would be no shift from innersprings to other support materials. The shift to in-house production of innersprings would also be low at 3%. A total of 9% of the innersprings previously sourced from the parties involved in the merger would be shifted to competitors. Overall, this results in a shift of the total innerspring purchasing volume previously sourced from the parties involved in the merger to other suppliers of innersprings, other support materials (foam/latex), and/or in-house production of a total of 14%. The parties involved in the merger can therefore assume that even in the event of a significant and unilateral price increase, more than 85% of their sales volumes are secured. As the parties involved in the merger state in their letter to the decision division dated July 20, 2004, a unilateral price increase of 5 to 10% would only become unprofitable if it resulted in a loss of sales of [...] %. Conversely, a loss of sales of only 14% would therefore be considered (still) profitable.</w:t>
      </w:r>
    </w:p>
    <w:p>
      <w:r>
        <w:t>154. However, it is quite questionable whether the market participants willing to shift could actually obtain the quantities of innersprings to be shifted from other competitors in the desired quantity, quality, and delivery time. Individual market participants particularly indicated that they have no idea which supplier could even be an alternative to the current suppliers AGRO and/or L&amp;P. In this respect, the figure of 14% corresponds to the theoretical maximum shift rate, which would not actually be achieved. Furthermore, the chosen price increase scenario assumes that the prices of competitors remain the same. However, this cannot be assumed given the existing market structure. Rather, the market structure suggests that the competitors of the parties involved in the merger will tend to follow their price increases and that the parties involved in the merger can act as price leaders in the market. This is particularly supported by the fact that the small competitors only have very limited capacities, which they cannot expand arbitrarily (see also Rn. 123 f. and Rn. 125). The demand attracted by a low-price strategy could therefore not be satisfied by the individual competitors at all. A low-price strategy would therefore not be economically sensible. It would be much more sensible to follow the price movements of the market leader. Consequently, the revenue declines of the parties involved in the merger in a realistic scenario would be significantly lower than determined by the decision division.</w:t>
      </w:r>
    </w:p>
    <w:p>
      <w:r>
        <w:t>155. The extent of the maneuverability of the parties involved in the merger in the market and their ability to assert themselves against the customers can be seen from the fact that the significant price increases of the parties involved in the merger since 2001 have always been fully or almost fully enforced against all customers, including the large customers. Even the large domestic customers surveyed in August 2004 against the backdrop of 20-30% price increases in the current year, who represent 70% of the domestic demand volume, have again and almost unanimously confirmed that switching to other suppliers of innersprings is not an option for them.</w:t>
      </w:r>
    </w:p>
    <w:p>
      <w:r>
        <w:t>156. The market counterpart does not have sufficient alternatives to avoid sourcing innersprings from L&amp;P and AGRO by turning to competitors. The customers, regardless of their size, are significantly dependent on the products of the parties involved in the merger. The reason for the lack of alternatives is the current capacity distribution, which, as previously explained, will change little in the future. The competitors are not even remotely able to attract and satisfy the demand previously covered by the parties involved in the merger due to the capacity restrictions they face. Furthermore, the competitors would also not be able to handle and reliably execute large orders with the existing production capabilities, which is why they do not provide sufficient alternatives for the customers.</w:t>
      </w:r>
    </w:p>
    <w:p>
      <w:r>
        <w:t>3. Consideration</w:t>
      </w:r>
    </w:p>
    <w:p>
      <w:r>
        <w:t>157. It has not been argued and is also not apparent that the merger would improve the competitive conditions in other markets.</w:t>
      </w:r>
    </w:p>
    <w:p>
      <w:r>
        <w:t>4. Summary</w:t>
      </w:r>
    </w:p>
    <w:p>
      <w:r>
        <w:t>158. For the aforementioned reasons, it is to be expected that the merger will lead to the creation or strengthening of a dominant market position of L&amp;P and AGRO in the market for wire innersprings for use in mattresses and upholstered furniture. The merger is therefore to be prohibited in accordance with § 36 Abs. 1 GWB.</w:t>
      </w:r>
    </w:p>
    <w:p>
      <w:r>
        <w:rPr>
          <w:b/>
        </w:rPr>
        <w:t>[Pages 58–60]</w:t>
      </w:r>
    </w:p>
    <w:p>
      <w:r>
        <w:t xml:space="preserve">C. Fees  </w:t>
        <w:br/>
        <w:t xml:space="preserve">The prohibition of the merger project pursuant to § 36 Abs. 1 GWB is subject to fees as an official act of the antitrust authority in accordance with § 80 Abs. 1 S. 2 Nr. 2 GWB. The antitrust authority may charge fees of up to € 50,000 (§ 80 Abs. 2 S. 2 Nr. 1 GWB), and in cases of particularly significant economic importance and exceptionally high administrative effort, up to € 100,000 (§ 80 Abs. 2 S. 3 GWB).  </w:t>
        <w:br/>
        <w:t xml:space="preserve">The amount of the fee is determined by the personnel and material effort of the antitrust authority, taking into account the economic significance of the subject of the fee-liable action (§ 80 Abs. 2 S. 1 GWB). For the assessment, the economic significance of the intended merger is decisive. This is fundamentally derived from the level of domestic sales of the participating companies in the markets affected by the merger, the expected domestic sales of the joint venture, the anticipated economic benefits of future cooperation in the domestic markets, and the economic interest of the participating companies in the antitrust authority's decision.  </w:t>
        <w:br/>
        <w:t xml:space="preserve">If the economic significance determined by these criteria corresponds to the average, a medium fee is generally appropriate. This amounts to € 25,000 according to the currently applicable fee framework. Depending on the respective economic significance and the workload, adjustments may be made, the amount of which is at the discretion of the antitrust authority (cf. WuW/E OLG 5259 "Kleinhammer", KG WuW/E OLG 5287 "Finanzbeteiligung Gebühr").  </w:t>
        <w:br/>
        <w:t>In the present case, significant weight must be attributed to the economic significance. The material and personnel effort of the antitrust authority for the merger control review corresponded to this significance. A fee of a total of € [...] is therefore appropriate and justified. After accounting for the separately determined fee for the notification of the merger project pursuant to § 39 Abs. 1 GWB of € [...] (§ 80 Abs. 1 S. 4 GWB), an amount of € [...] was to be set for the prohibition pursuant to § 36 Abs. 1 GWB.</w:t>
      </w:r>
    </w:p>
    <w:p>
      <w:r>
        <w:t xml:space="preserve">58  </w:t>
        <w:br/>
        <w:t xml:space="preserve">The fee debtors are the parties 1 to 3 (§ 80 Abs. 6 Nr. 1 GWB).  </w:t>
        <w:br/>
        <w:t xml:space="preserve">The fee is to be transferred within one month after service of this decision to the account of the  </w:t>
        <w:br/>
        <w:t xml:space="preserve">Bundeskasse Trier – Außenstelle Bonn  </w:t>
        <w:br/>
        <w:t xml:space="preserve">Account No.: 380 010 60  </w:t>
        <w:br/>
        <w:t xml:space="preserve">at the Deutsche Bundesbank Branch Bonn  </w:t>
        <w:br/>
        <w:t xml:space="preserve">Bank Code 380 000 00  </w:t>
        <w:br/>
        <w:t>Please ensure to indicate "BKartA – Title 0908 11101, Ref.: B5-170/03" and the date of the decision as the purpose of use. For transfers from abroad, the international bank code (BIC) MARKDEF 1380 and the international account number (IBAN) of the Deutsche Bundesbank Branch Bonn DE 91 3800 0000 0038 001060 are to be used.</w:t>
      </w:r>
    </w:p>
    <w:p>
      <w:r>
        <w:t xml:space="preserve">59  </w:t>
        <w:br/>
        <w:t xml:space="preserve">D. Legal Remedies  </w:t>
        <w:br/>
        <w:t xml:space="preserve">An appeal against this decision is permissible. It must be submitted in writing within a period of one month starting from the service of the decision to the Bundeskartellamt, Kaiser-Friedrich-Straße 16, 53113 Bonn. However, it is sufficient if it is received within this period by the appellate court, the Oberlandesgericht Düsseldorf.  </w:t>
        <w:br/>
        <w:t xml:space="preserve">If an application for permission is made pursuant to § 42 Abs. 1 GWB, the period for the appeal begins with the service of the order of the Federal Minister for Economics and Technology.  </w:t>
        <w:br/>
        <w:t xml:space="preserve">The appeal must be substantiated. The period for substantiating the appeal is one month. It begins with the filing of the appeal and can be extended upon request by the presiding judge of the appellate court. The appeal must contain a statement indicating the extent to which the decision is contested and a request for its amendment or repeal, as well as the facts and evidence on which the appeal is based.  </w:t>
        <w:br/>
        <w:t xml:space="preserve">The appeal and its substantiation must be signed by a lawyer admitted to a German court.  </w:t>
        <w:br/>
        <w:t xml:space="preserve">______________ ______________ ______________  </w:t>
        <w:br/>
        <w:t xml:space="preserve">Fehrmann Sturhahn Zigelski  </w:t>
        <w:br/>
        <w:t>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