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https://www.bundeskartellamt.de/SharedDocs/Entscheidung/DE/Fallberichte/Fusionskontrolle/2022/B5-22-22.pdf?__blob=publicationFile&amp;v=2</w:t>
      </w:r>
    </w:p>
    <w:p>
      <w:r>
        <w:t>Pages translated : 6</w:t>
      </w:r>
    </w:p>
    <w:p/>
    <w:p>
      <w:r>
        <w:rPr>
          <w:b/>
        </w:rPr>
        <w:t>[Pages 1–3]</w:t>
      </w:r>
    </w:p>
    <w:p>
      <w:r>
        <w:t xml:space="preserve">Case Report March 23, 2022  </w:t>
        <w:br/>
        <w:t xml:space="preserve">Approval of the acquisition of mobiheat by Mainova/Hotmobil  </w:t>
        <w:br/>
        <w:t xml:space="preserve">Industry: Rental and sale of mobile heating units, among others  </w:t>
        <w:br/>
        <w:t xml:space="preserve">File Number: B5-22/22  </w:t>
        <w:br/>
        <w:t>Date of Decision: February 14, 2022</w:t>
      </w:r>
    </w:p>
    <w:p>
      <w:r>
        <w:t>The Federal Cartel Office approved on February 14, 2022, after a merger control examination, the notified indirect acquisition of approximately 94 percent of the shares in mobiheat GmbH, Friedberg, ("mobiheat") by Mainova Aktiengesellschaft, Frankfurt a.M., ("Mainova") within the one-month period. Mobiheat and a subsidiary of Mainova, Hotmobil Deutschland GmbH ("Hotmobil"), are primarily active in Germany, Austria, and Switzerland in the field of offering or providing so-called "mobile heating." Mainova is an energy service provider rooted in the city of Frankfurt am Main and its surrounding area. Mainova operates in the supply of electricity, natural gas, heating, and water, as well as in the area of energy-related services. The main shareholders of Mainova are the Stadtwerke Frankfurt am Main Holding GmbH and Thüga Aktiengesellschaft.</w:t>
      </w:r>
    </w:p>
    <w:p>
      <w:r>
        <w:t>Hotmobil's activities include the sale and rental of mobile heating systems, but also – to a lesser extent so far – of cooling and steam systems. The product portfolio of Hotmobil includes, among other things, mobile heating units (with a capacity of 21 to 950 kW), heating containers (with a capacity of 100 to 2,500 kW), as well as mobile electric heating devices, e.g., as emergency heating in the event of failure of the stationary heating system or as construction heating, including the corresponding accessories. Finally, Hotmobil's area of activity also includes supplementary services, such as fuel management and digital remote monitoring of the systems. Hotmobil assembles the heating and cooling systems in its product portfolio using pre-products itself. In Germany, Hotmobil is represented at nine locations and has a branch each in Switzerland and Austria.</w:t>
      </w:r>
    </w:p>
    <w:p>
      <w:r>
        <w:t>Mobiheat has two 100% subsidiaries abroad: mobiheat Österreich GmbH and mobiheat Schweiz GmbH (hereinafter collectively referred to as "mobiheat group"). In Germany, the mobiheat group is represented at six locations. The mobiheat group has been active in the sale and rental of mobile heating systems since 2004, as well as in mobile cooling systems and mobile steam centers. Its product portfolio includes electric mobile heating devices with a capacity of 3 to 40 kW, mobile heating systems from 70 to 2,500 kW, which are operated with oil, gas, or pellets, as well as electric mobile cooling centers from 6 to 450 kW and mobile steam centers. The product portfolio of the mobiheat group also includes accessories (e.g., hoses, heat exchangers, or control devices) and supplementary services (maintenance, delivery, fuel supply, remote monitoring).</w:t>
      </w:r>
    </w:p>
    <w:p>
      <w:r>
        <w:t>Both involved companies offer their specialized products and services nationwide through both two-tier and three-tier distribution (i.e., through wholesale for heating needs assortments), and practically exclusively to commercial customers. In two-tier distribution, industrial customers, customers of the sanitary-heating-air conditioning specialist trade/commerce, and other customers (e.g., construction companies, engineering offices, facility or event managers) can generally be distinguished.</w:t>
      </w:r>
    </w:p>
    <w:p>
      <w:r>
        <w:t xml:space="preserve">With regard to the area affected here, the Federal Cartel Office could not yet rely on an established market delineation or administrative practice. However, no conclusive findings had to be made regarding the exact delineation of the geographically and substantively relevant markets, as the presence of the conditions for prohibition could not be established even with an alternative market definition. The Federal Cartel Office analyzed the bundle of goods and services offered by the involved companies with regard to various possible affected markets. Separate markets were distinguished for the sale and for the rental of the corresponding systems or devices. The following affected substantive markets were examined in detail:  </w:t>
        <w:br/>
        <w:t xml:space="preserve">The market for the rental and the market for the sale ...  </w:t>
        <w:br/>
        <w:t xml:space="preserve">• concerning mobile heating, mobile cooling, and mobile steam ("overall market")  </w:t>
        <w:br/>
        <w:t xml:space="preserve">• of mobile heating units (from approx. 50 kW)  </w:t>
        <w:br/>
        <w:t xml:space="preserve">• of mobile electric heating devices (up to approx. 50 kW)  </w:t>
        <w:br/>
        <w:t xml:space="preserve">• of mobile cooling centers  </w:t>
        <w:br/>
        <w:t xml:space="preserve">• of mobile steam centers  </w:t>
        <w:br/>
        <w:t>and other affected markets (e.g., fuel trading, SHK trading markets). Regarding all affected product markets, the question could remain open as to whether a separate sub-market for nationwide active providers or exclusively for commercial customers is appropriate.</w:t>
      </w:r>
    </w:p>
    <w:p>
      <w:r>
        <w:t>The question of the geographically relevant market or markets could ultimately remain open in this proceeding. This is because neither the assumption of regional markets nor the assumption of a market encompassing the so-called D-A-CH region (i.e., Germany, Austria, and Switzerland) would result in a different outcome of the competitive assessment than assuming a national, nationwide market. A nationwide market served as the geographic reference market within the framework of the competitive analysis. With regard to the question of whether local or regional markets should possibly be delineated for individual affected product markets, it was also necessary to consider that most regionally delineated markets within Germany would be classified under antitrust law as so-called de minimis markets (§ 36 Abs. 1 Nr. 2 GWB) due to their sales volume.</w:t>
      </w:r>
    </w:p>
    <w:p>
      <w:r>
        <w:t xml:space="preserve">For the purpose of clarifying the market and competitive conditions in the affected markets in Germany, the Federal Cartel Office conducted a market survey, which included over 80 competitors as well as the parties involved. Since a full survey or investigation was ultimately not necessary, the market shares determined for the involved companies can generally be understood as maximum values. The results of the market survey, which refer to the year 2021, can be summarized as follows:  </w:t>
        <w:br/>
        <w:t xml:space="preserve">Overall market for mobile heating, mobile cooling, and mobile steam  </w:t>
        <w:br/>
        <w:t>The applicants argued that it is appropriate to assume a unified substantive market ("overall market") for mobile heating and cooling systems. Since no conclusive findings were made regarding the substantive market delineation in this respect, the alternative market delineation of the overall market should also be considered here, without any value judgment being associated with it. It was assumed that the overall market includes both the revenues for the provision of mobile heating, i.e., mobile heating units from 50 kW on the one hand and mobile electric heating devices up to 50 kW on the other, mobile cooling, and mobile steam. The determined market volume of the overall market for rental is significantly above the de minimis market threshold. In the overall market for rental, the merger results in an addition of market shares in favor of the participating companies to a total (maximum) of 10-20 percent market share, as far as determined. This market share is significantly below the presumption threshold for single market dominance. There are a number of relatively strong competitors in the fields of rental of mobile heating, mobile cooling, and mobile steam systems. As a result, the market structure in this rental market did not give rise to any concerns.</w:t>
      </w:r>
    </w:p>
    <w:p>
      <w:r>
        <w:rPr>
          <w:b/>
        </w:rPr>
        <w:t>[Pages 4–6]</w:t>
      </w:r>
    </w:p>
    <w:p>
      <w:r>
        <w:t>In the overall market for sales, the merger results in an addition of market shares in favor of the participating companies to a total (maximum) of approximately 15-25 percent market share. The determined market share is again significantly below the presumption threshold for single market dominance. There are a number of relatively strong competitors in the fields of sales of equipment for mobile heating, mobile cooling, and mobile steam systems. As a result, the analysis did not give rise to any competitive concerns. Also, with regard to a possible overall market for rental and sales, the outcome of the merger control examination did not differ.</w:t>
      </w:r>
    </w:p>
    <w:p>
      <w:r>
        <w:t xml:space="preserve">Market for the rental of mobile heating units from 50 kW  </w:t>
        <w:br/>
        <w:t>The determined market volume in the nationwide market for the rental of mobile heating units is above the de minimis market threshold at more than 40 million euros (as of 2021). In this market, the competitor Heizkurier is the market leader prior to the merger. Heizkurier has a strong position in both the two-tier and three-tier distribution channels. With the merger, the participating companies will take over the market leadership. There are a larger number of other providers in the rental business, with at least a double-digit number of competitors also operating nationwide. Although mobiheat, as a result of the merger, will eliminate a close competitor of Hotmobil, the combined market share of the parties remains below the presumption threshold for single market dominance.</w:t>
      </w:r>
    </w:p>
    <w:p>
      <w:r>
        <w:t>Although the findings do not rule out the possibility that the presumption threshold for joint market dominance involving the entity Hotmobil/mobiheat and Heizkurier is mathematically met with the merger, there are several indications that this presumption can be considered rebutted in this case. For example, the fact that the market for the rental of mobile heating units is not saturated but is dynamically growing makes coordinated effects less likely. A concrete indication of competition between the corporate groups is that, with regard to Heizkurier, the supply to a significant major customer changed during the period 2020/2021. It can generally be assumed that the three-tier and two-tier distribution are in a competitive relationship with each other. In particular, in the area of two-tier distribution, the authority has indications of the existence of price competition and a willingness of customers to switch. There are also a number of smaller, some of which are also specialized competitors. The occurrence of individual particularly large orders also argues against coordinated effects.</w:t>
      </w:r>
    </w:p>
    <w:p>
      <w:r>
        <w:t>Regarding the existence of market entry barriers in the area of sales and rental of mobile heating units, the survey did not yield a clear picture. Although there are some bottlenecks in the market for specialized professionals and executives, there are no reliable findings regarding the existence of high market entry barriers. Finally, the results of a conducted capacity analysis also argue against the assumption that joint market dominance could arise.</w:t>
      </w:r>
    </w:p>
    <w:p>
      <w:r>
        <w:t xml:space="preserve">Further Markets  </w:t>
        <w:br/>
        <w:t>With regard to the market for the sale of mobile heating units, it can be assumed based on the investigations that it is a de minimis market (§ 36 Abs. 1 Nr. 2 GWB). Concerning the two markets for the rental and sale of mobile electric heating devices up to 50 kW, it can be assumed that the supply market was by no means fully investigated in the survey. This is because the surveyed competitors are primarily providers of "mobile heating." In this respect, a number of other providers, such as construction and DIY stores, building materials trade, etc., were not included in the survey. As a result, the determined market volumes were in some cases well below the de minimis market threshold, especially regarding the rental markets. Regarding the markets for the sale of mobile electric heating devices up to 50 kW, it should be noted that the sale of this category of devices relies less on special mobility services in the provision. Since, in the case of sales, at most only one delivery to the buyer is required, there is no necessity for specialized companies, such as the participants. Against this background, there were also no merger control concerns regarding this sub-market.</w:t>
      </w:r>
    </w:p>
    <w:p>
      <w:r>
        <w:t>Regarding the markets for the rental and sale of mobile cooling systems and mobile steam systems, it was found that these areas currently represent only a secondary business for the participants. Accordingly, both in the area of mobile cooling systems and in the area of mobile steam systems, specialized well-known providers were identified whose market shares are significantly above the combined market share of the participants. Against this background, there were no competitive concerns arising from the merger regarding the two areas of mobile cooling and mobile steam systems.</w:t>
      </w:r>
    </w:p>
    <w:p>
      <w:r>
        <w:t>The other affected markets, particularly the trade markets for HVAC assortments and fuel trade, did not require closer analysis in this case. This is because the participating companies operate their business in these markets only as a supplementary business or to round out their product portfolio. The comparatively low revenues generated by Hotmobil and mobiheat in these markets are insignificant in light of the revenue scale of the HVAC trade markets and the fuel trade markets.</w:t>
      </w:r>
    </w:p>
    <w:p>
      <w:r>
        <w:t>As a result, the notified merger project was to be cleared.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