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https://www.bundeskartellamt.de/SharedDocs/Entscheidung/DE/Entscheidungen/Fusionskontrolle/2000/B5-40-00.pdf?__blob=publicationFile&amp;v=3</w:t>
      </w:r>
    </w:p>
    <w:p>
      <w:r>
        <w:t>Pages translated : 17</w:t>
      </w:r>
    </w:p>
    <w:p/>
    <w:p>
      <w:r>
        <w:rPr>
          <w:b/>
        </w:rPr>
        <w:t>[Pages 1–3]</w:t>
      </w:r>
    </w:p>
    <w:p>
      <w:r>
        <w:t xml:space="preserve">Bundeskartellamt  </w:t>
        <w:br/>
        <w:t xml:space="preserve">5. Decision Division  </w:t>
        <w:br/>
        <w:t xml:space="preserve">B 5 - 34100 - U 40/00  </w:t>
        <w:br/>
        <w:t xml:space="preserve">Decision  </w:t>
        <w:br/>
        <w:t xml:space="preserve">In the administrative procedure  </w:t>
        <w:br/>
        <w:t xml:space="preserve">1. DaimlerChrysler AG, 70567 Stuttgart, Epplestr. 225  </w:t>
        <w:br/>
        <w:t xml:space="preserve">2. Ford Motor Company, Dearborn, Michigan, USA  </w:t>
        <w:br/>
        <w:t xml:space="preserve">3. General Motors Corporation, Detroit, Michigan, USA  </w:t>
        <w:br/>
        <w:t xml:space="preserve">- Participants -  </w:t>
        <w:br/>
        <w:t xml:space="preserve">Authorized representatives of the participants:  </w:t>
        <w:br/>
        <w:t xml:space="preserve">Attorneys  </w:t>
        <w:br/>
        <w:t xml:space="preserve">Skadden, Arps, Slate, Meagher &amp; Flom LLP  </w:t>
        <w:br/>
        <w:t xml:space="preserve">Messeturm  </w:t>
        <w:br/>
        <w:t xml:space="preserve">D-60308 Frankfurt am Main  </w:t>
        <w:br/>
        <w:t xml:space="preserve">regarding the examination of a merger project  </w:t>
        <w:br/>
        <w:t xml:space="preserve">the 5th Decision Division of the Federal Cartel Office has decided on September 25, 2000:  </w:t>
        <w:br/>
        <w:t xml:space="preserve">I. The merger project registered on August 2, 2000 is approved.  </w:t>
        <w:br/>
        <w:t xml:space="preserve">II. The fee for the registration is set at  </w:t>
        <w:br/>
        <w:t xml:space="preserve">xxx DM  </w:t>
        <w:br/>
        <w:t>and imposed on participants 1 to 3 as joint debtors.</w:t>
      </w:r>
    </w:p>
    <w:p>
      <w:r>
        <w:t xml:space="preserve">- 2 -  </w:t>
        <w:br/>
        <w:t xml:space="preserve">Reasons  </w:t>
        <w:br/>
        <w:t xml:space="preserve">A.  </w:t>
        <w:br/>
        <w:t xml:space="preserve">1. By letter dated August 2, 2000, the authorized representatives registered the project of DaimlerChrysler AG, Ford Motor Company, and General Motors Corporation to acquire 27% of the shares of Covisint upon its establishment. In addition, Renault/Nissan is to be involved with 5%, and the software companies CommerceOne Inc. and Oracle Corp. with 2% each. The remaining 10% of the shares are intended for employees and for companies outside the circle of automobile manufacturers. In 2001, the company is to be listed on the stock exchange. Covisint is to establish an internet platform in the e-commerce business-to-business (B2B) sector for the automotive industry.  </w:t>
        <w:br/>
        <w:t xml:space="preserve">2. The main area of activity of the participants is the manufacture and distribution of motor vehicles and motor vehicle components. They also engage in significant activities in other industrial and service sectors that are not affected by the project and therefore do not require further elaboration here. DaimlerChrysler (DC) had consolidated worldwide revenues of 149.985 billion Euros (293.3 billion DM) in the last completed financial year (1999). Of this, 97.7 billion DM were attributable to the EU and 55.5 billion DM to Germany. The Ford Motor Company (Ford) achieved group revenues of 162.558 billion US-$ (298.3 billion DM) in the financial year 1999. Of this, 57.7 billion DM were attributable to the EU and 25.9 billion DM to Germany. The General Motors Corporation (GM) achieved worldwide revenues of 156.107 billion US-$ (286.5 billion DM) in the financial year 1999. Of this, 41.9 billion DM were attributable to the EU and approximately 32 billion DM to the domestic market.  </w:t>
        <w:br/>
        <w:t xml:space="preserve">B.  </w:t>
        <w:br/>
        <w:t xml:space="preserve">The merger project is subject to the provisions of the Act Against Restraints of Competition (GWB).  </w:t>
        <w:br/>
        <w:t>1. The participation of DC, Ford, and GM fulfills the merger criteria of § 37 para. 1 no. 3 letter b) and sentence 3 GWB.</w:t>
      </w:r>
    </w:p>
    <w:p>
      <w:r>
        <w:t xml:space="preserve">- 3 -  </w:t>
        <w:br/>
        <w:t xml:space="preserve">2. The project is subject to control because the turnover thresholds of § 35 para. 1 GWB are exceeded and the conditions of § 35 para. 2 no. 1 or 2 GWB are not met.  </w:t>
        <w:br/>
        <w:t xml:space="preserve">3. The jurisdiction of the Federal Cartel Office is established pursuant to § 35 para. 3 GWB because the European Merger Regulation [Regulation (EEC) No. 4064/89 as amended by Regulation (EC) 1310/97] (ECMR) does not apply. DC, Ford, and GM will not exercise joint control over Covisint, so its establishment does not constitute a concentration under Art. 3 ECMR.  </w:t>
        <w:br/>
        <w:t xml:space="preserve">4. The merger project has an effect within the meaning of § 130 para. 2 GWB domestically, as the participating companies are active in Germany.  </w:t>
        <w:br/>
        <w:t xml:space="preserve">5. On August 22, 2000, the decision division informed the authorized representatives that they had entered the main examination procedure (§ 40 para. 1 GWB). The examination period ends on December 4, 2000.  </w:t>
        <w:br/>
        <w:t xml:space="preserve">C.  </w:t>
        <w:br/>
        <w:t xml:space="preserve">I. The participants have described the project as follows:  </w:t>
        <w:br/>
        <w:t xml:space="preserve">1. Covisint is to operate an internet platform that will be available to the entire automotive industry, i.e., manufacturers and the upstream supply chain, and is to provide internet services for procurement, supplier management, and product development. CommerceOne Inc. and Oracle Corp. are to provide the technology for the implementation of the platform. According to the contracts concluded, the articles of association of Covisint shall stipulate that the members of the Covisint board designated by the participating automobile manufacturers shall not together achieve a majority on the board. The board is therefore to be predominantly staffed with individuals who are not connected to the automobile manufacturers. This is to include independents and representatives of suppliers.  </w:t>
        <w:br/>
        <w:t>2. Covisint is to significantly increase the efficiency of the entire automotive industry with its service offerings. In supplier management, information and communication systems are to enable improved coordination of production plans between industry and suppliers, optimization of inventory management, and market-oriented capacity planning. It is to be in</w:t>
      </w:r>
    </w:p>
    <w:p>
      <w:r>
        <w:rPr>
          <w:b/>
        </w:rPr>
        <w:t>[Pages 4–6]</w:t>
      </w:r>
    </w:p>
    <w:p>
      <w:r>
        <w:t>- 4 -</w:t>
        <w:br/>
        <w:t>essential demand planning, product delivery, inventory management, supply chain planning, material management, logistics, material transport, and customs.</w:t>
        <w:br/>
        <w:t>In the area of product procurement, internet auctions, catalog purchases, and outsourced purchasing as well as opportunities for automation, streamlining, and shortening of internal processes in procurement are to be opened up.</w:t>
        <w:br/>
        <w:t>In the area of joint product development, common standards are to be provided, based on which plans and product designs can be made accessible. This is intended to enable product development teams to collaborate over the internet (information exchange in product development, interactive development, collaboratively used production design tools).</w:t>
        <w:br/>
        <w:t>The increased integration of the supply chain and the improved synchronization of vehicle and component planning will allow for a reduction in development times for motor vehicles to 12 to 18 months.</w:t>
        <w:br/>
        <w:t>Fees will be charged for these services. Covisint's fee model provides for different prices for specific product packages in the areas of product procurement, supply management, and product development; furthermore, a standard package with a monthly base fee as well as a transaction fee for auctions (as a percentage of the total transaction value) is planned. Covisint intends to open offices in Europe (Amsterdam) and Asia (Tokyo).</w:t>
        <w:br/>
        <w:t>3. During the proceedings, the authorized representatives submitted a letter of intent signed by the participating automobile manufacturers dated August 30 ("Supplemental Memorandum of Understanding" - MOU -), which contains competitively relevant regulations regarding the activities of Covisint. In it, the four automobile manufacturers involved in the establishment of Covisint commit that certain rules regarding the activities of Covisint will be included in the Covisint founding contracts or the Covisint bylaws. This additional letter of intent contains binding regulations regarding outsourced purchasing transactions, the security of confidential data, obligations for open and non-discriminatory access to Covisint, and the participation conditions for members.</w:t>
      </w:r>
    </w:p>
    <w:p>
      <w:r>
        <w:t>- 5 -</w:t>
        <w:br/>
        <w:t>Specifically, the additional letter of intent contains the conditions for outsourced procurement services, provisions on confidentiality and data security, institutional regulations for the corporate governance of Covisint, guidelines for open, non-discriminatory access, guidelines for compliance with antitrust regulations, regulations on the openness of technical standards, and provisions on customer agreements. The regulations on data security and outsourced procurement services refer to detailed annexes that have been declared binding ("Security &amp; Administration Model Overview, Version 5.0" and "Rules relating to the outsourced purchasing service"). A provision is to be included in the bylaws of Covisint that after 18 months, any amendment to these regulations can only be made with a two-thirds majority of the Board or with a simple majority of the shareholders' meeting, in which a majority of the shares not held by the automobile manufacturers is additionally required.</w:t>
        <w:br/>
        <w:t>4. The four participating automobile manufacturers have declared that they will process their purchases through Covisint, but will not aggregate them into a joint purchase among themselves. This applies to both vehicle-specific and other products. Only the purchase of non-vehicle-specific products may be outsourced to Covisint. However, a joint procurement of an automobile manufacturer with one or more suppliers, but not the joint purchasing among the automobile manufacturers, shall be possible. The MOU also contains a commitment from Covisint to observe the applicable competition law regulations in outsourced purchasing transactions.</w:t>
        <w:br/>
        <w:t>5. Covisint is to be designed as an open, global online marketplace with free access for all automobile manufacturers and suppliers. All Covisint users shall have the opportunity to conduct business within Covisint based on open and non-discriminatory conditions, regardless of whether a participant holds shares in Covisint. The entire product offering shall be available to all participants under equal conditions and reasonable access terms that do not favor the automobile manufacturers or a specific group of suppliers. Covisint will not enter into agreements that require a supplier to use Covisint exclusively or primarily as a B2B platform, or prohibit a supplier from acquiring shares in another B2B platform or entering into a profit-sharing agreement, or in any other way restrict a user's freedom regarding access, use, organization, or establishment of another platform, or require a supplier to use Covisint for a period exceeding 18 months.</w:t>
        <w:br/>
        <w:t>The MOU entitles Covisint to exclude a supplier who holds equity or voting rights in another platform from representation on the Board or customer advisory board of Covisint.</w:t>
        <w:br/>
        <w:t>Furthermore, the MOU grants each automobile manufacturer the right to require its direct or indirect suppliers to use Covisint in connection with the development, production, and sale of goods and services intended for the automobile manufacturer. However, the automobile manufacturers remain free to communicate with their suppliers through other electronic platforms or communication forms.</w:t>
        <w:br/>
        <w:t>Finally, the MOU provides that Covisint may offer financial incentives to attract customers. However, these incentives may not be conditioned on customers not accessing, using, participating in, organizing, or establishing another electronic platform.</w:t>
        <w:br/>
        <w:t>6. Covisint shall ensure the confidentiality and security of data transmission with the best possible technical and organizational measures. To this end, Covisint shall employ firewalls, encryption, and identification techniques corresponding to the respective technical standards.</w:t>
        <w:br/>
        <w:t>In principle, the owner of a specific information (i.e., the company providing data via Covisint) determines the circle of users who have access to the data. For example, manufacturers shall only gain access to data that pertains to business transactions in the upstream supply chains if the respective supplier, who is the owner of the data, has authorized such access.</w:t>
        <w:br/>
        <w:t>7. Covisint shall ensure open interface standards to enable the participation of all suppliers and automobile manufacturers regardless of which software is used in the respective IT systems of the companies. To this end, Covisint shall develop and apply open interface standards that will facilitate third parties in connecting to and communicating with the Covisint platform. The technology interface standards shall be based on the</w:t>
      </w:r>
    </w:p>
    <w:p>
      <w:r>
        <w:rPr>
          <w:b/>
        </w:rPr>
        <w:t>[Pages 7–9]</w:t>
      </w:r>
    </w:p>
    <w:p>
      <w:r>
        <w:t>- 7 -</w:t>
        <w:br/>
        <w:t>published on the Covisint website. Covisint will use internet standards for data transport, document and information exchange, and encryption. Additionally, Covisint will support applications written in Java, among others. Regarding the transport of data, Covisint will also ensure that its products are compatible with the standards of ENX (a network developed by European automotive associations and vehicle manufacturers) and ANX (a corresponding US network), so that Covisint customers have access to Covisint data via ENX/ANX and can transmit data. ENX allows a secure and fast network connection through an authorized point-to-point connection (unique identification of sender and recipient). ENX guarantees, through the service providers, the availability of a connection between the communicating parties at all times, even for large data volumes, as well as the confidentiality of data transmission. ENX is freely accessible after registration.</w:t>
        <w:br/>
        <w:t>8. In the area of joint product development and product design, certain products will be offered on the platform, while other products will continue to be operated behind the firewalls of the internal company systems. Covisint will provide standards that allow plans and product designs to be made accessible, enabling product development teams to collaborate over the Internet. Authorized participants will be able to make technical changes in real-time and immediately make plans and specifications accessible to a global design team. With the Covisint product "Product Work Space," accessible via the Internet, a product development team, whose members belong to different companies and are located in various places, will be able to access project data, view designs and specifications, and hold virtual meetings. The programs specific to automobile manufacturers will continue to run on the company-specific systems and will not be offered by Covisint. However, Covisint will provide interfaces that allow suppliers to access the product development data of an automobile manufacturer, provided they are authorized to do so and data security is ensured. Suppliers will not need a copy of the manufacturer-specific CAD program.</w:t>
        <w:br/>
        <w:t>Regarding supplier management, Covisint will offer a product that will allow a manufacturer and its suppliers to collaborate on demand planning and capacity information.</w:t>
      </w:r>
    </w:p>
    <w:p>
      <w:r>
        <w:t>- 8 -</w:t>
        <w:br/>
        <w:t>II. The decision division has the following assessments of the project:</w:t>
        <w:br/>
        <w:t>1. The decision division has consulted 15 major automotive supplier companies and the automobile manufacturers VW, Audi, BMW, and Porsche regarding the project and has also provided other interested parties with the opportunity to comment through an announcement on the Internet. The automobile manufacturers and suppliers generally view the use of this joint B2B platform positively. They consider the establishment of internet platforms as an electronic marketplace for procurement and delivery to be sensible. The resulting potential efficiency gains could have a positive competitive impact. Concerns have been raised primarily regarding the assurance of data security. The confidentiality of internal company data (prices, suppliers, capacities, etc.) cannot be controlled by companies that are not involved in the technical design of Covisint. Special importance is attached to the security of data transmission in product development (protection of intellectual property). Suppliers fear that the disclosure of their supply chain could lead to them being bypassed by manufacturers in the future. It must be ensured that suppliers are free in their relationships with their own suppliers (Tier-One to Tier-Two to Tier-X). Participation in other B2B platforms as well as in traditional trading methods must not lead to disadvantages (prevention of exclusivity). For this purpose, the technical design must also be standardized; otherwise, participation in other platforms would be ruled out for suppliers due to cost reasons. There is a risk that the technical tools will allow information asymmetries that grant the founders of the platform (possibly also regular customers) insight into confidential information (e.g., bids). The technical possibilities would almost invite unequal treatment. Even the suspicion that the founding companies gain insight into the cost structure of suppliers exerts strong price pressure on them, resulting in a concentration of market power. Due to the expected strong position of Covisint, it must be ensured that this position is not abused against suppliers through unjustified fees.</w:t>
      </w:r>
    </w:p>
    <w:p>
      <w:r>
        <w:t>- 9 -</w:t>
        <w:br/>
        <w:t>Since a number of automotive suppliers raised concerns about ensuring the confidentiality of data and the security of data transmission, additional statements were requested from 11 companies on this matter. They were sent a public version of Covisint's administration and security concept. The companies continued to see problem areas regarding the control of Covisint administration, encryption within the Covisint network, the security of firewalls, and encryption requirements. The Association of the Automotive Industry e.V., Frankfurt, commented on the ENX network in relation to Covisint. For the association and its members, it is important that the number of marketplaces is not too large and that at least common standards exist for all marketplaces, so that their use is feasible at a reasonable cost for smaller and medium-sized enterprises. According to the Working Group on the Supplier Industry, Düsseldorf, the legitimate interests of suppliers, such as the protection of contributed know-how and confidentiality of price offers or demands, can only be ensured by a reservation of continuous review.</w:t>
        <w:br/>
        <w:t>3. The Federal Trade Commission decided on September 11, 2000, to conclude its investigations into Covisint under the Clayton Act and the Hart-Scott-Rodino Antitrust Improvements Act. In its communication to the parties involved, the FTC points out that at the present time it cannot be determined that the establishment of Covisint does not raise competitive concerns. Since Covisint is not yet operational and regulations regarding business operations and terms of use are still pending, and in light of the strong position of the parties in the automotive market - they account for half of global automobile production - the FTC reserves the right to take further action if public interest requires it. At the same time, the FTC Chairman pointed out that B2B marketplaces offer promising prospects for significant cost savings and greater efficiency and would enhance competition. Both industries and consumers would benefit from improved productivity and lower prices through B2B platforms. The competitive examination of a B2B platform must be based on its objectives, structure, the respective market conditions, procedures, and rules of its organization and the</w:t>
      </w:r>
    </w:p>
    <w:p>
      <w:r>
        <w:rPr>
          <w:b/>
        </w:rPr>
        <w:t>[Pages 10–12]</w:t>
      </w:r>
    </w:p>
    <w:p>
      <w:r>
        <w:t>- 10 -</w:t>
        <w:br/>
        <w:t>the business operations as well as ultimately the business practices and their development in the market.</w:t>
        <w:br/>
        <w:t>D.</w:t>
        <w:br/>
        <w:t>I. The merger does not give rise to the expectation of establishing or strengthening a dominant market position.</w:t>
        <w:br/>
        <w:t>1. Covisint provides an e-commerce business-to-business (B2B) platform for the automotive industry. Internet platforms create access to computers set up by individuals, companies, organizations, associations, and government agencies to communicate with each other based on distributed communication networks, exchange information, offer services, and conduct business transactions. Among internet platforms, e-commerce covers the commercial sector of the economy. In addition, there are other areas, such as communication between government entities (A2A), with businesses (A2B), and with citizens/consumers (A2C).</w:t>
        <w:br/>
        <w:t>E-commerce can be divided based on the target audience it addresses into consumer (Business-to-Customer, B2C) and business sectors (Business-to-Business, B2B). B2B and B2C thus fulfill functions such as business initiation and transaction processing, similar to traditional trade fairs, exchanges, and markets. In both areas, communication and information are also at the forefront. While B2C is additionally focused on the sale of goods and services to the end consumer, B2B primarily emphasizes procurement processes and company-specific services. Networking with suppliers, customers, and transporters offers companies significant advantages. Prices for goods and services can be compared globally. Inventory levels are only filled when there is actual demand. With the simultaneous acceleration of manufacturing and distribution processes, procurement, inventory, personnel, and information costs decrease. Furthermore, through internet-based collaboration between an automobile manufacturer and its suppliers, the development time of a new product can be significantly shortened. This leads not only to a shorter product cycle but also to an acceleration of innovation.</w:t>
        <w:br/>
        <w:t>The area of B2B platforms, like the broader e-commerce sector, is currently in a dynamic development phase characterized by an increasingly advancing use of the Internet in the commercial sector. This area is currently marked by a pronounced phase of market establishment and discovery, so that solidified contours and market structures have not yet emerged. In 1995, there were 28 B2B marketplaces worldwide for trade between companies; by 1999, there were already 332 marketplaces, and by July 2000, there were 1090 marketplaces (Source: B2B Marketplaces in Germany, Berlecon Research, Berlin, July 2000). The competitive classification of B2B platforms into individual markets depends on their structure, objectives, and function, as well as the organization of business operations.</w:t>
        <w:br/>
        <w:t>2. Covisint will compete with a range of electronic platforms and software applications for product management and product development that can be utilized by companies in the automotive industry. In the area of B2B platforms, these include, in addition to automotive-specific platforms that offer similar comprehensive solutions as Covisint, numerous non-automotive-specific platforms that provide partial services from Covisint's service spectrum.</w:t>
        <w:br/>
        <w:t>a) Platforms established by automobile manufacturers or suppliers will represent direct competitors of Covisint. VW is currently developing an internet platform that is intended to be available to its own group. Development partners include the companies i2 (for logistics), Ariba (for procurement), and IBM. The goal is to implement applications for process-oriented communication between VW and its suppliers based on an internet-based infrastructure. Initially planned application areas include catalog purchasing for general materials, procurement auctions (reverse auctions) also for series materials, and capacity control (demand and capacity information to avoid capacity bottlenecks). The VW platform builds on existing structures and is intended to be gradually expanded. Participation by other companies is not yet planned.</w:t>
        <w:br/>
        <w:t>A decision regarding the establishment of its own internet platform by BMW is expected shortly.</w:t>
        <w:br/>
        <w:t>Another automotive-specific platform is the planned platform supplyON, which is to be established by the German suppliers Bosch, Continental, Ina Schaeffler, and ZF Friedrichshafen. SAP will provide the technology. This platform is primarily intended to offer procurement functionalities for the Tier 1-n supply chain in the automotive industry, although the corporate purpose does not exclude the provision of functionalities for the trade of products other than those of the automotive supply industry. The procurement functionalities will initially include the provision of supplier files as well as support in initiating business contacts and contracts (creating inquiries, obtaining offers, automated offer comparisons, and in selected material fields a so-called "online-bidding"). A direct contract conclusion on the platform is not initially planned.</w:t>
        <w:br/>
        <w:t>TruckXchange was established by Pacar and CommerceOne as a global virtual marketplace for manufacturers, customers, dealers, and suppliers in the commercial vehicle industry. IstarXchange was established by Toyota Motor Sales and i2 as a global virtual marketplace for spare parts and information services for the automotive industry. At the end of August 2000, the establishment of the electronic trading platform TecCom for automotive spare parts was announced, in which more than 20 leading parts manufacturers (Continental, Bosch, Hella, LuK, among others) and the TecDoc Information System as well as Siemens Business Services are involved. Ford and GM have also developed individual e-commerce platforms for their procurement activities with their own suppliers, namely FordOrderXchange and GM TradeXchange. GM TradeXchange (developed by CommerceOne) is initially to be tested with a few suppliers in Portugal and then gradually extended to the German Opel plants.</w:t>
        <w:br/>
        <w:t>b) Covisint also competes with platforms that offer industry-specific comprehensive solutions for other industries, which include products and business processes. This group includes platforms that specialize in goods and services that represent important inputs for the automotive industry, such as platforms from the chemical, steel, and plastics industries.</w:t>
        <w:br/>
        <w:t>In the chemical industry, Covisint overlaps with the platforms Chemoconnect and Chemodex. Chemoconnect is a global platform for chemicals, plastic products, and industrial gases used by manufacturers, buyers, and intermediaries. Chemdex is a platform for supplier catalogs and a virtual marketplace for the "life-science" industry.</w:t>
        <w:br/>
        <w:t>Covisint overlaps with the platforms of the metal industry eMetra, eSteel, MetalSite, and MetalSpectrum. eSteel is a virtual marketplace for trading steel products. MetalSite is a virtual marketplace for metals. MetalSpectrum will be a marketplace for aluminum, steel, copper, nickel alloys, and titanium that</w:t>
      </w:r>
    </w:p>
    <w:p>
      <w:r>
        <w:rPr>
          <w:b/>
        </w:rPr>
        <w:t>[Pages 13–15]</w:t>
      </w:r>
    </w:p>
    <w:p>
      <w:r>
        <w:t>- 13 -</w:t>
        <w:br/>
        <w:t>used by manufacturers, distributors, and users. eMetra was established as a virtual marketplace for non-ferrous metals. RubberNetwork was founded by tire manufacturers (Continental, Goodyear, CooperTire, Michelin, Pirelli, Sumitomo Rubber, Bridgestone) as a virtual marketplace where raw materials, equipment, and services for the tire industry and rubber processing industry are offered. PlasticsNet is a platform that provides catalogs for the procurement of materials and equipment, particularly for the plastics industry.</w:t>
        <w:br/>
        <w:t>c) Covisint will also compete with platforms that offer products and services not specialized for specific industries. These platforms also overlap in certain areas with the range of services offered by Covisint. Some platforms provide services to a large number of industries that are equivalent to those of Covisint, such as catalog-based purchasing, procurement (reverse auctions), and sales auctions (forward auctions). This group of platforms includes Freemarkets, VerticalNet, and My-SAP.com. Freemarkets operates as a global platform offering procurement auctions for more than 70 product categories, including automotive parts. VerticalNet organizes and manages internet groups and provides resources for communication between companies. VerticalNet offers its services to a number of industries, including the automotive industry. MySAP.com acts as a virtual marketplace for purchasing, selling, and collaboration within and between industries.</w:t>
        <w:br/>
        <w:t>Other platforms, including BizBuyer, MRO.com, and TradeOut, specialize in specific service categories that can be utilized by various industries, such as consulting regarding information technologies, internet access, and equipment procurement. BizBuyer operates as a global platform for services and procurement of office supplies for small and medium-sized enterprises. Emaro was also founded by Deutsche Bank and SAP for the procurement of office supplies. MRO.com is a global platform for maintenance, repair, and operations supplies. TradeOut is a global platform for the disposal of surplus inventory and unused items.</w:t>
        <w:br/>
        <w:t>In addition to the aforementioned platforms operating in Europe, there are several other horizontal platforms active in North America. PurchasePro is a platform for maintenance, repair, and operations supplies.</w:t>
      </w:r>
    </w:p>
    <w:p>
      <w:r>
        <w:t>- 14 -</w:t>
        <w:br/>
        <w:t>SupplierMarket is a platform for direct materials such as closures and screws. There are no significant barriers to entry that could prevent these platforms from expanding their operations into Europe. In particular, the technology they use is easily transferable from one region to another.</w:t>
        <w:br/>
        <w:t>3. Covisint will also compete with software tools in supplier management that are already being used by the automotive industry for these purposes. Such programs exist, among others, for demand planning, product delivery, and inventory management (including supply chain planning, material management, logistics, customs, and transport). The product offered by Covisint for message exchange will compete with other software for document exchange. This includes, among others, TradeMatrix from i2 Technologies, Get2Connect from Harbinger, i-Supply from Supply Solutions, SupplyWeb from Brain North America, and Global eXchange from GE. The introduction of ExchangeWorks, a new product from Manugistics, has already been announced. i2 Technologies and Harbinger are the leading providers in this segment according to published revenues.</w:t>
        <w:br/>
        <w:t>In joint demand and procurement planning, Covisint will primarily compete with the product offered by i2 Technologies under the name TradeMatrix, which has largely equivalent functionality.</w:t>
        <w:br/>
        <w:t>The product offered by Covisint for production control will compete with corresponding products for the control of production materials, inventory, and supply bottlenecks, such as TradeMatrix from i2 Technologies, i-Supply from Supply Solutions, and SupplyWeb from Brain North America. The leading provider in this segment is, according to the parties, i2 Technologies. In the last two mentioned segments, the imminent introduction of new products from Manugistics is also expected.</w:t>
        <w:br/>
        <w:t>Covisint's offerings for management, logistics and trade, management and verification of transport costs, monitoring of delivery routes and delivery times, and control of compliance with import and export regulations face competing products from Descartes, whose products DeliveryNets and eTransport enable delivery control, as well as from nPassage and Vastera, whose products ensure compliance with import and export regulations. Logistics distributes competing software for delivery control as well as for the procurement of multimodal transport services. Also noteworthy is the Oracle Logistics Exchange for the procurement and management of delivery contracts. Finally, the software offered by Covisint for the verification of supplies will compete with that of Brain North America.</w:t>
        <w:br/>
        <w:t>Major providers in this segment are Oracle and Vastera.</w:t>
        <w:br/>
        <w:t>4. The dynamics in this very early phase of the development of internet markets do not yet reveal solid contours of the material markets that will crystallize in the future. The decision division therefore considers it appropriate to include all currently recognizable development trends in the competition review at this market stage. According to the decision division, these do not indicate that there will be the formation of dominant market positions in the relevant area of internet platforms.</w:t>
        <w:br/>
        <w:t>5. Participation in Covisint does not establish dominant market positions for the founding companies. Covisint itself does not establish or strengthen the market power of any individual automobile manufacturer or other members of the automotive industry in relation to their suppliers. Due to the size of the automobile manufacturers involved in Covisint, which account for about one-third of European automobile production, a "bottleneck" could arise for other manufacturers and suppliers. However, this risk is not virulent as long as there is open and non-discriminatory access for participants, no exclusivity of use is required, and no joint purchasing is conducted. The regulations at the founding of Covisint ensure these requirements.</w:t>
        <w:br/>
        <w:t>a) Covisint will not enter into agreements with direct and indirect suppliers of the manufacturers that require a supplier to exclusively or primarily use Covisint as a B2B platform, based on the agreements in point 7 of the MOU. Furthermore, a supplier cannot be prohibited by Covisint from participating in other B2B platforms, nor can their freedom to use, organize, or establish other platforms be restricted. Covisint also cannot require a supplier to use its platform for a longer period than 18 months. The automobile manufacturers will also undertake the same commitments.</w:t>
      </w:r>
    </w:p>
    <w:p>
      <w:r>
        <w:rPr>
          <w:b/>
        </w:rPr>
        <w:t>[Pages 16–17]</w:t>
      </w:r>
    </w:p>
    <w:p>
      <w:r>
        <w:t>- 16 -</w:t>
        <w:br/>
        <w:t xml:space="preserve">These obligations agreed upon at the founding of Covisint can be changed no earlier than 18 months after the commencement of business operations. A two-thirds majority in the Board or a simple majority in the shareholders' meeting is required for this, with an additional requirement that a majority of the shares not controlled by the manufacturers must also agree in the shareholders' meeting. Covisint is permitted to attract suppliers to participate with financial incentives. However, these incentives must not require the suppliers to refrain from founding, using, or organizing other platforms. Covisint's entire product offering will be available to all participants under the same conditions and reasonable access terms, which do not favor manufacturers or specific groups of suppliers. Access to Covisint is also technically feasible without special difficulties due to the open interface standards and compatibility with the internet networks of the European automotive industry (ENX) and the US automotive industry (ANX), so that no technical market exclusion measures are discernible. </w:t>
        <w:br/>
        <w:t>b) The commitments made by the founders in the MOU stipulate that Covisint will not allow manufacturers to jointly purchase through Covisint. The purchasing transactions outsourced to Covisint will only include non-automotive-specific products, although it may be possible in individual cases for a user of Covisint, such as a supplier, to participate in the purchasing transaction that Covisint conducts for a manufacturer. Such transactions are subject to the condition that they comply with the applicable competition law.</w:t>
        <w:br/>
        <w:t>6. Covisint's business activities will not negatively impact the existing competition between the founding companies and other vehicle manufacturers. Covisint will reduce costs throughout the automotive industry by streamlining supply chains, shortening vehicle development times, and streamlining and automating manual procurement processes. These advantages can also be obtained by competing manufacturers, whether they use the Covisint platform available to them, or another platform, or utilize existing electronic networks.</w:t>
      </w:r>
    </w:p>
    <w:p>
      <w:r>
        <w:t>- 17 -</w:t>
        <w:br/>
        <w:t>II. This decision is issued in the merger control procedure pursuant to § 40 para. 2 sentence 1 GWB. The decision division currently sees no indications based on the statements made by the parties regarding Covisint's intended activities that would justify intervention under other antitrust regulations. However, it reserves the right to subject Covisint's specific practices to a later antitrust review.</w:t>
        <w:br/>
        <w:t>E.</w:t>
        <w:br/>
        <w:t>Notice of Appeal</w:t>
        <w:br/>
        <w:t>An appeal against this decision is permissible. It must be submitted in writing within a period of one month starting from the delivery of the decision to the Federal Cartel Office, Kaiser-Friedrich-Straße 16, 53113 Bonn. It is sufficient if it is received within this period by the appellate court, the Higher Regional Court of Düsseldorf. The appeal must be substantiated. The deadline for substantiating the appeal is one month. It begins with the filing of the appeal and can be extended upon request by the presiding judge of the appellate court. The appeal substantiation must include a statement indicating the extent to which the decision is being contested and the request for its amendment or annulment, and must specify the facts and evidence on which the appeal is based. The appeal and the appeal substantiation must be signed by a lawyer admitted to practice before a German court.</w:t>
        <w:br/>
        <w:t>Vieth Jung Temme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