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https://www.bundeskartellamt.de/SharedDocs/Entscheidung/DE/Entscheidungen/Missbrauchsaufsicht/2024/B5-56-22.pdf?__blob=publicationFile&amp;v=5</w:t>
      </w:r>
    </w:p>
    <w:p>
      <w:r>
        <w:t>Pages translated : 23</w:t>
      </w:r>
    </w:p>
    <w:p/>
    <w:p>
      <w:r>
        <w:rPr>
          <w:b/>
        </w:rPr>
        <w:t>[Pages 1–3]</w:t>
      </w:r>
    </w:p>
    <w:p>
      <w:r>
        <w:t>Order</w:t>
        <w:br/>
        <w:t>pursuant to § 32 b GWB</w:t>
        <w:br/>
        <w:t>Public Version</w:t>
        <w:br/>
        <w:t>5th Decision Division</w:t>
        <w:br/>
        <w:t>File Number: B5 56 / 22</w:t>
        <w:br/>
        <w:t>Decision</w:t>
        <w:br/>
        <w:t>In the cartel administrative proceedings</w:t>
        <w:br/>
        <w:t>⎯</w:t>
        <w:br/>
        <w:t>against</w:t>
        <w:br/>
        <w:t>1. Aurubis AG</w:t>
        <w:br/>
        <w:t>Hovestraße 50</w:t>
        <w:br/>
        <w:t>20539 Hamburg</w:t>
        <w:br/>
        <w:t>Authorized representatives:</w:t>
        <w:br/>
        <w:t>Mr. Attorney Dr. Tobias Klose, Ms. Attorney Estelle Lemarignier</w:t>
        <w:br/>
        <w:t>Freshfields Bruckhaus Deringer Rechtsanwälte Steuerberater PartG mbH</w:t>
        <w:br/>
        <w:t>Feldmühleplatz 1</w:t>
        <w:br/>
        <w:t>40545 Düsseldorf</w:t>
        <w:br/>
        <w:t>2. Wieland Werke AG</w:t>
        <w:br/>
        <w:t>Graf-Arco Str. 36</w:t>
        <w:br/>
        <w:t>89079 Ulm</w:t>
        <w:br/>
        <w:t>Authorized representatives:</w:t>
        <w:br/>
        <w:t>Mr. Attorney Dr. Ullrich Soltész, Ms. Attorney Kristina Winkelmann</w:t>
        <w:br/>
        <w:t>Gleiss Lutz Hootz Hirsch PartmbB Rechtsanwälte, Steuerberater</w:t>
        <w:br/>
        <w:t>Lautenschlagerstraße 21</w:t>
        <w:br/>
        <w:t>70173 Stuttgart</w:t>
        <w:br/>
        <w:t>3. Schwermetall Halbzeugwerk GmbH &amp; Co. KG</w:t>
        <w:br/>
        <w:t>Breiniger Berg 165</w:t>
        <w:br/>
        <w:t>52223 Stolberg</w:t>
        <w:br/>
        <w:t>Authorized representative:</w:t>
        <w:br/>
        <w:t>Mr. Attorney Dr. Michael Holzhäuser</w:t>
        <w:br/>
        <w:t>Ashurst LLP</w:t>
        <w:br/>
        <w:t>OpernTurm</w:t>
        <w:br/>
        <w:t>Bockenheimer Landstraße 2-4</w:t>
        <w:br/>
        <w:t>60306 Frankfurt am Main</w:t>
        <w:br/>
        <w:t>-Participants-</w:t>
      </w:r>
    </w:p>
    <w:p>
      <w:r>
        <w:t>- 2 -</w:t>
        <w:br/>
        <w:t>the 5th Decision Division of the Federal Cartel Office has decided on [...] 2024 pursuant to § 32 b Abs. 1 of the Act against Restraints of Competition1:</w:t>
        <w:br/>
        <w:t>I. The commitments offered by Parties 1 – 3 in their letter dated […] 2024 and listed under point B. of this decision are binding for Parties 1 – 3.</w:t>
        <w:br/>
        <w:t>II. The proceedings against Parties 1 – 3 are terminated in accordance with § 32 b Abs. 1 sentence 2 GWB.</w:t>
        <w:br/>
        <w:t>III. The fee for the proceedings, including this decision, amounts to […] euros and is imposed on Parties 1 – 3 as joint debtors.</w:t>
        <w:br/>
        <w:t>Reasons</w:t>
        <w:br/>
        <w:t>A. Facts</w:t>
        <w:br/>
        <w:t>I. The parties and the contractual arrangement of their cooperation</w:t>
        <w:br/>
        <w:t>1. Party 1, based in Hamburg, is a publicly listed copper producer and copper recycler. Following the acquisition of the Belgian copper producer Cumerio S.A. by Norddeutsche Affinerie AG in 2008, the company has been operating under the name Aurubis AG since April 2009. Party 1 produces copper cathodes from copper concentrate and the secondary raw material copper scrap using electrolytic processes and further processes these within the group into casting wire, specialty wire, continuous casting formats, rolled products, bars, and profiles.</w:t>
        <w:br/>
        <w:t>2. In spring 2018, Party 1 and Party 2 agreed on the sale of the entire business area for flat rolled products of Party 1 to Party 2. The merger project was registered and examined under file number M. 8900 – WIELAND / AURUBIS ROLLED PRODUCTS / SCHWERMETALL in Brussels. On 5.02.2019, the European Commission prohibited Party 2 from the planned acquisition of the rolled products division of Party 1 pursuant to Art. 8 Abs. 3 of the EU Merger Regulation.</w:t>
        <w:br/>
        <w:t>1 In the version of 26.06.2013 (BGBl. I p. 1750, 3245) last amended by Article 2 of the Act of 23.06.2023 (BGBl. 2023 I No. 167). (hereinafter: "GWB").</w:t>
      </w:r>
    </w:p>
    <w:p>
      <w:r>
        <w:t>- 3 -</w:t>
        <w:br/>
        <w:t>3. In 2022, Party 1 sold part of its flat rolling business - consisting of Aurubis Netherlands BV, Zutphen, Netherlands, Aurubis UK Ltd., Smethwick, United Kingdom, Aurubis Slovakia s.r.o., Dolny Kubin, Slovakia, Aurubis Mortara S.p.A., Mortara, Italy, and Aurubis Middle East FZE, Dubai, United Arab Emirates - to KME SE2. The remaining flat rolling business of Party 1 consists of Aurubis Stolberg GmbH &amp; Co. KG, Stolberg, its 50% stake in Party 3, Aurubis Finland Oy, Pori, Finland, and Aurubis Buffalo Inc, Buffalo, USA.</w:t>
        <w:br/>
        <w:t>4. Party 2, founded in 1820 as an art and bell foundry, is a manufacturer of semi-finished products made of copper and copper alloys. The corporate group, with Wieland-Werke AG as the top group company, operates in four business areas. The Engineered Products segment includes the production of sliding bearings, precision turned parts, and rolling bearing cages made of copper alloys for the automotive industry, mechanical engineering, and manufacturers of agricultural and construction machinery. The Extruded Products segment is involved in the production of bars, pipes, profiles, and wires, while the Rolled Products segment is engaged in the production of strips and sheets for the electronics and automotive industries. The Thermal Solutions segment encompasses the development and production of thermal solutions. The headquarters of Party 2 has been located in Ulm since the company's founding in 1820. Additional domestic plants are located in Velbert-Langenberg, Villingen-Schwenningen, and Vöhringen/Iller. Further manufacturing sites are located in Asia, Europe, and the USA. Party 2 holds a 50% stake in Party 3.</w:t>
        <w:br/>
        <w:t>5. Party 3 is a jointly controlled company by Parties 1 and 2. Both shareholders hold 50% of the shares, there is a parity board in which the shareholders are represented by two members each, a catalog of transactions established in § 5 2. a) - y) of the management instructions that require prior approval from the board, which also includes the adoption of the annual planning (including budget, investment, and financial planning), and there are corresponding veto rights of both shareholders.</w:t>
        <w:br/>
        <w:t xml:space="preserve">6. Party 3 was founded in 1971 by the companies William Prym GmbH &amp; Co. KG (hereinafter: "Prym") and Kupfer- und Messingwerke Langenberg GmbH &amp; Co. KG (hereinafter: "Langenberg") with each holding 50%. Prym and Langenberg were two integrated copper manufacturers. </w:t>
        <w:br/>
        <w:t>2 KME SE (KME) is a manufacturer of semi-finished products and semi-finished goods made of copper and copper alloys. KME is headquartered in Osnabrück and is a 99% subsidiary of Intek Group S.p.A., Milan.</w:t>
        <w:br/>
        <w:t>3 B5 50/22.</w:t>
      </w:r>
    </w:p>
    <w:p>
      <w:r>
        <w:rPr>
          <w:b/>
        </w:rPr>
        <w:t>[Pages 4–6]</w:t>
      </w:r>
    </w:p>
    <w:p>
      <w:r>
        <w:t>- 4 -</w:t>
        <w:br/>
        <w:t xml:space="preserve">Manufacturers of semi-finished products made of copper, who produced their pre-rolled strips for the manufacture of flat products within their own companies and each had casting facilities, hot rolling mills, and facilities for the production of finished strips within their own companies. By establishing the third party involved, Prym and Langenberg intended to transfer their respective production stages for pre-rolled strips (corresponding to 30% of the total value chain) to the joint venture. Both partners were to be allowed to use 50% of the capacity for the production of pre-rolled strips. To better utilize the production of the third party involved, free capacities were also to be used for supplying third-party customers, with the acquisition initially being handled by both partners in coordination. In 1975, the partners decided that the third party involved could offer existing capacities that had not been called upon by the partners to third-party customers to improve its economic basis. </w:t>
        <w:br/>
        <w:t xml:space="preserve">7. On June 24, 1983, the partners of the third party involved established new "Principles of Management for Schwermetall" through their responsible advisory board: "Schwermetall is not comparable to typical industrial companies in terms of its structure and its activities for the two partner companies. Therefore, the principle of complete objectivity and neutrality of Schwermetall's management towards both partner companies is of particular importance. The partners of Schwermetall believe that Schwermetall must operate independently and profit-oriented within the legal limits." […] </w:t>
        <w:br/>
        <w:t xml:space="preserve">8. In 1987, the second party involved acquired 50% of the shares in Langenberg and in 1994 the remaining 50%. Since then, the second party involved has held a 50% stake in the third party involved. In 2001, the first party involved entered as a partner in the third party involved by acquiring Prym. </w:t>
        <w:br/>
        <w:t xml:space="preserve">9. The corporate purpose of the third party involved is the manufacture and distribution of metal products of all kinds. According to § 4 Abs. 2 of the articles of association, all measures that go beyond the ordinary operation of its commercial business require the prior approval of the parity advisory board. In 2003, the partners agreed on a business directive for the management with a specified catalog of transactions that require the prior approval of the advisory board. § 5 Abs. 2 a) - y) of the business directive for the management of the third party involved provides that, in particular, but not exclusively, the approval of the advisory board is required for the following transactions, actions, or activities: a) the introduction of new business areas, partial or complete abandonment of previously exercised business areas, significant changes to the product mix or customer portfolio. </w:t>
        <w:br/>
        <w:t xml:space="preserve">10. Furthermore, the first and second parties involved agreed in the advisory board meeting on November 9, 2005, as recorded in the final version of the minutes dated September 18, 2006, as follows: "Both partners agree that the introduction of new alloys or alloy groups generally requires the approval of the advisory board. The management must obtain the approval of the advisory board before the start of market introduction." […] </w:t>
        <w:br/>
        <w:t xml:space="preserve">11. The third party involved, based in Stolberg, claims to be a world-leading manufacturer of pre-rolled strips made of copper and copper alloys with an annual production of approximately 200,000 tons. It supplies pre-rolled strips to its partners and sells pre-rolled strips to third parties. Of the total sales of the third party involved, approximately two-thirds by quantity go to the partners and one-third to third parties. In terms of processing revenues and profits, approximately […] go to third parties and about […] to the partners. </w:t>
        <w:br/>
        <w:t xml:space="preserve">12. The third party involved operates a foundry with three casting facilities and a pre-rolling mill with a hot rolling and cold rolling facility as well as additional strip treatment facilities. For the production of pre-rolled strips, the input material metal in the composition of the desired alloy is melted in the foundry and cast into rolling plates. The rolling plates are rolled down on a hot rolling line, cooled, milled for surface-related defects from casting and impurities during hot rolling, cold rolled to thicknesses of 2 – 4 mm, partially annealed, pickled, and cut. The pre-rolled strips made of copper and copper alloys produced by the third party involved serve as the basis for the manufacture of copper rolled products and are further processed in subsequent processing steps (in particular cold rolling and annealing) outside of the third party involved. </w:t>
        <w:br/>
        <w:t xml:space="preserve">13. The third party involved casts the pre-product rolling plates itself in Stolberg and is additionally supplied with rolling plates by the first party involved. The first party involved also supplies the second party involved with rolling plates. The second party involved processes the rolling plates obtained from the first party involved internally into pre-rolled strips and then - also internally - further into copper rolled products. In addition, the second party involved also obtains part of the pre-rolled strips required for the production of copper rolled products from the third party involved. In contrast, the first party involved obtains the pre-rolled strips required for the manufacture of copper rolled products (almost) exclusively from the third party involved. </w:t>
        <w:br/>
        <w:t xml:space="preserve">II. Pre-rolled strips and copper rolled products </w:t>
        <w:br/>
        <w:t xml:space="preserve">1. The copper value chain </w:t>
        <w:br/>
        <w:t xml:space="preserve">13. Copper ore, which has a copper content of less than 5%, is mined in mines and enriched in processing plants to copper concentrate with a copper content of 25% to 40%. Copper cathodes are produced from copper concentrate and the secondary raw material copper scrap using electrolytic processes. </w:t>
        <w:br/>
        <w:t>14. Copper cathodes are flat bodies with dimensions of 1m x 1m with a copper content of 99.9935% (Grade A). Copper cathodes are, among other things, the pre-product for the...</w:t>
      </w:r>
    </w:p>
    <w:p>
      <w:r>
        <w:rPr>
          <w:b/>
        </w:rPr>
        <w:t>[Pages 7–9]</w:t>
      </w:r>
    </w:p>
    <w:p>
      <w:r>
        <w:t>- 7 -</w:t>
        <w:br/>
        <w:t>the production of copper casting rolled wire on the one hand and for the production of copper formats on the other hand.</w:t>
        <w:br/>
        <w:t>15. Copper formats are round bars (billets) and rolling plates (cakes). The formats are semi-finished products used to manufacture semi-finished products.</w:t>
        <w:br/>
        <w:t>16. Round bars have a circular cross-section with diameters ranging from 100 mm to 800 mm and a length of, for example, 600 mm. They are further processed into pipes, rods, and profiles. Rolling plates have a rectangular cross-section and weigh up to 25 tons. They are the precursor for pre-rolled strips.</w:t>
        <w:br/>
        <w:t>17. Pre-rolled strip is a thin copper strip produced through hot and cold rolling. Through further processing steps, pre-rolled strip is further processed into thinner copper rolled products, such as roofing sheets, copper strips for boilers and heat exchangers, cable and connector strips, stamping strips, brass and copper strips for industrial applications, copper strips for coating purposes, and copper foils.</w:t>
        <w:br/>
        <w:t>18. Copper rolled products are used in various industries. The most important include electrical engineering and the electronics industry (electrical appliances, air conditioning systems, and circuit boards), the construction industry (installation as well as roofs and facades), telecommunications (cables), the automotive industry (radiators), and mechanical engineering (motors).</w:t>
        <w:br/>
        <w:t>2. Decision Practice of the European Commission</w:t>
        <w:br/>
        <w:t>19. The European Commission has addressed the issue of product and geographic market definition in processing products from formats as well as pre-rolled strips in the merger control proceedings M. 4781 – Norddeutsche Affinerie / Cumerio, M. 6316 – AURUBIS / LUVATA ROLLED PRODUCTS, M. 8909 – KME / MKM, and M. 8900 – WIELAND / AURUBIS ROLLED PRODUCTS / SCHWERMETALL. In the merger control proceeding M. 4781 – Norddeutsche Affinerie / Cumerio, the Commission assumed a downstream overall market for rolled semi-finished products.16 In the subsequent decision in the merger control proceeding M. 6316 – AURUBIS / LUVATA ROLLED PRODUCTS, the Commission left the precise market definition open due to the lack of overlaps between the companies involved in the merger regarding pre-rolled strips.17</w:t>
        <w:br/>
        <w:t>16 Decision of the Commission in the merger control proceeding M. 4781 – Norddeutsche Affinerie / Cumerio, paragraph 91.</w:t>
        <w:br/>
        <w:t>17 Decision of the Commission in the merger control proceeding M. 6316 – AURUBIS / LUVATA ROLLED PRODUCTS, paragraph 26.</w:t>
      </w:r>
    </w:p>
    <w:p>
      <w:r>
        <w:t>- 8 -</w:t>
        <w:br/>
        <w:t>20. In the merger control proceedings M. 8909 – KME / MKM and M. 8900 – WIELAND / AURUBIS ROLLED PRODUCTS / SCHWERMETALL, the Commission concluded that the market for (the trade in) pre-rolled strips is separate from the market for copper rolled products. This is because there is no demand-side substitutability and only limited supply-side substitutability between pre-rolled strips and copper rolled products. Therefore, the Commission assumed that the precursor pre-rolled strip constitutes its own relevant trading market, which is to be defined geographically across the EEA.18</w:t>
        <w:br/>
        <w:t>21. Regarding copper rolled products, the European Commission concluded that a total market should be defined, which is highly differentiated. According to the Commission's findings, the market for copper rolled products consists of several segments, which are determined by different manufacturing parameters, technical product characteristics, and varying requirements for rolled products in different end applications. In this context, the Commission assumed that the know-how and complexity of the equipment, the intensity of competition, and market dynamics differ in the more standardized market segments compared to high-quality market segments. Therefore, the Commission assumed that there is a broad EEA-wide market for copper rolled products, which includes both standard products at the lower end of the market and specialized products at the upper end of the market.19</w:t>
        <w:br/>
        <w:t>22. Party 3 is active in the upstream EEA-wide trading market for pre-rolled strips. Parties 1 and 2 are active in the downstream broad EEA-wide market for rolled products.</w:t>
        <w:br/>
        <w:t>23. At the time of Party 1's entry into Party 3, Parties 1 and 2 were active in different segments, with Party 1 in standard products at the lower end of the market and Party 2 in specialized products at the upper end of the market. Party 1's entry into Party 3 was examined in the context of proceeding B5 146/01.</w:t>
        <w:br/>
        <w:t>24. The examination is detailed in the report of the Federal Cartel Office 2001/2002, page 159, as follows:</w:t>
        <w:br/>
        <w:t>18 Decision of the Commission in the merger control proceeding M. 8900 – WIELAND / AURUBIS ROLLED PRODUCTS / SCHWERMETALL, paragraphs 89-94, 144-148.</w:t>
        <w:br/>
        <w:t>19 Decision of the Commission in the merger control proceeding M. 8900 – WIELAND / AURUBIS ROLLED PRODUCTS / SCHWERMETALL, paragraphs 107-135, 153-162.</w:t>
      </w:r>
    </w:p>
    <w:p>
      <w:r>
        <w:t>- 9 -</w:t>
        <w:br/>
        <w:t>"The project of Norddeutsche Affinerie AG (NA) to acquire control over Prymetall GmbH was not prohibited by the Federal Cartel Office. The merger did not lead to any addition of market shares in the affected markets, as NA has not previously been active in the business areas of Prymetall GmbH (pre-rolled strips and rolled material made of copper and copper alloys). The financial strength of NA and the competitive advantage of integrated copper production by NA do not lead to an increased scope of behavior in the market for copper pre-rolled strips, as KM Europa Metal AG and the Finnish company Outokumpu, both financially strong and also integrated copper manufacturers with larger market shares, are active in the market. There are also no competitively concerning group effects expected due to the cooperation of Prymetall GmbH and Wieland Werke AG in the production of pre-rolled strips in the joint venture Schwermetall Halbzeugwerk GmbH &amp; Co. KG. Both companies are pursuing separate paths: Prymetall GmbH is very strong in the areas of copper semi-finished products and roofing copper as a market leader for copper alloy strips, while Wieland is mainly active in the electronics and electrical sector, and not at all in the roofing copper sector."</w:t>
        <w:br/>
        <w:t>25. Since the acquisition of the flat rolling activities of Luvata (merger control proceeding M. 6316 – AURUBIS / LUVATA ROLLED PRODUCTS) in 2011, Party 1 has increased its presence in copper rolled products, particularly in specialized products at the upper end of the market. According to the Commission's findings in the merger control proceeding M. 8900 – WIELAND / AURUBIS ROLLED PRODUCTS / SCHWERMETALL, Party 1 is an important and close competitor of Party 2 in specialized products at the upper end of the market for copper rolled products in the EEA.21</w:t>
        <w:br/>
        <w:t>26. Regarding copper rolled products overall, the European Commission in the merger control proceeding M. 8900 – WIELAND / AURUBIS ROLLED PRODUCTS / SCHWERMETALL, decision of 5.02.2019, paragraph 234, based on formatting revenues/excluding copper costs, arrived at a total market volume by value in € of […] for the year 2017 and the following quantity and share distribution:</w:t>
        <w:br/>
        <w:t>20 NA refers to Party 1, see paragraph 1.</w:t>
        <w:br/>
        <w:t>21 Commission, decision in the merger control proceeding M. 8900 – WIELAND / AURUBIS ROLLED PRODUCTS / SCHWERMETALL, paragraph 347 – 403.</w:t>
        <w:br/>
        <w:t>22 The Commission has focused on formatting revenues, i.e., revenues associated with conversion or fabrication that exclude the material costs for copper. The metal costs for the material used are based on the copper prices quoted on the London Metal Exchange,</w:t>
      </w:r>
    </w:p>
    <w:p>
      <w:r>
        <w:rPr>
          <w:b/>
        </w:rPr>
        <w:t>[Pages 10–12]</w:t>
      </w:r>
    </w:p>
    <w:p>
      <w:r>
        <w:t>- 10 -</w:t>
        <w:br/>
        <w:t>Companies Sales Value in € Share in %</w:t>
        <w:br/>
        <w:t>Wieland […] [30-40]</w:t>
        <w:br/>
        <w:t>ARP […] [10-20]</w:t>
        <w:br/>
        <w:t>Schwermetall […] [0-5]</w:t>
        <w:br/>
        <w:t>KME/MKM23 […] [20-30]</w:t>
        <w:br/>
        <w:t>Total […] 100</w:t>
        <w:br/>
        <w:t>27. According to the investigations of the European Commission in the merger control procedure M. 8900 – WIELAND / AURUBIS ROLLED PRODUCTS / SCHWERMETALL, decision of 5.02.2019, paragraph 604, Schwermetall sold a total of […] tons of pre-rolled strips in 2017, of which […] tons to Aurubis Rolled Products, […] tons to Wieland, and […] tons to third parties. The distribution of sales of pre-rolled strips to third parties is as follows:</w:t>
        <w:br/>
        <w:t>Companies Sales in tons Share in %</w:t>
        <w:br/>
        <w:t>Schwermetall […] [70-80]</w:t>
        <w:br/>
        <w:t>MKM […] [10-20]</w:t>
        <w:br/>
        <w:t>Sofia Med24 […] [5-10]</w:t>
        <w:br/>
        <w:t>Total […] 100</w:t>
        <w:br/>
        <w:t>III. Background</w:t>
        <w:br/>
        <w:t>28. […] Based on the documents submitted by Party 1 and fully known to Party 2, the following facts emerge:</w:t>
        <w:br/>
        <w:t>are passed on to the customer. Therefore, the Commission was of the opinion that the formatting revenues allow for a more realistic insight into what price the customer is willing to pay for the value of further processing of the rolled product by a supplier.</w:t>
        <w:br/>
        <w:t>23 KME acquired Mansfelder Kupfer und Messing GmbH (MKM) in 2019, a manufacturer of semi-finished products and semi-finished goods made of copper and copper alloys. In a rolling mill southwest of Hettstedt, the company, which after the acquisition operates as KME Mansfeld GmbH, produces various products such as strips, plates, sheets, wires, pipes, rods, and profiles, as well as special solutions from copper and alloys such as brass.</w:t>
        <w:br/>
        <w:t>24 Sofia Med produces a wide range of rolled and extruded copper and copper alloys, such as sheets, strips, plates, round sheets, copper rods, bars, profiles, and wire. The company is located in Sofia, Bulgaria, on an area of 250,000 m2 and has three manufacturing units: foundry, rolling mill, and pressing plant. Sofia Med is a subsidiary of ElvalHalcor, Greece, which in turn belongs to the holding Viohalco.</w:t>
      </w:r>
    </w:p>
    <w:p>
      <w:r>
        <w:t>- 11 -</w:t>
        <w:br/>
        <w:t>29. Party 3 has been producing various alloys for its partners and third-party customers since its founding, including CuNiSi25 alloys. There are various types of CuNiSi alloys, which as a supergroup also include CuNiSi alloys C19010 and C70250.</w:t>
        <w:br/>
        <w:t>1. Pre-rolled strip made of CuNiSi alloy C19010</w:t>
        <w:br/>
        <w:t>30. Since 2004, Party 3 has supplied the CuNiSi alloy C19010 in small quantities to the […]. It also produced C19010 for Party 1 starting in 2005, until Party 3 had to cease production.</w:t>
        <w:br/>
        <w:t>31. […]</w:t>
        <w:br/>
        <w:t>32. In the meeting of the Advisory Board on 9.11.2005, a resolution was passed regarding pre-rolled strips made of CuNiSi. The final version of the minutes dated 18.09.2006 states:</w:t>
        <w:br/>
        <w:t>“[…] Both partners agree that the introduction of new alloys or alloy groups generally requires the approval of the Advisory Board. The management must obtain the approval of the Advisory Board before the market launch begins.”27</w:t>
        <w:br/>
        <w:t>33. Furthermore, it is stated that Party 2 conducted a detailed examination of the business of Party 3 in recent months.28 It was noted that, among other things, the required Advisory Board resolution was missing for the alloy group CuNiSi. The management formally requested approval for the inclusion of CuNiSi. The Advisory Board rejected the production of CuNiSi. The management was instructed to cease production within a reasonable period.29</w:t>
        <w:br/>
        <w:t>34. […]</w:t>
        <w:br/>
        <w:t>35. […]</w:t>
        <w:br/>
        <w:t>25 Copper/Nickel/Silicon.</w:t>
        <w:br/>
        <w:t>26 A semi-finished product for rolled material for connectors.</w:t>
        <w:br/>
        <w:t>27 Minutes of the Advisory Board meeting of 9.11.2005, final version of 18.09.2006, B5 1/21-032, Bl.d.A. 126 ff, 127.</w:t>
        <w:br/>
        <w:t>28 The Advisory Board had commissioned an inventory of the product range of Party 3. The resulting list of alloys was presented in the Advisory Board meeting on 8.02.2005, B5 1/21-032, Bl.d.A. 095.</w:t>
        <w:br/>
        <w:t>29 Minutes of the Advisory Board meeting of 9.11.2005, final version of 18.09.2006, B5 1/21-032, Bl.d.A. 127. In the minutes of the Advisory Board meeting of 9.07.2008, it is stated under the management report, […], B5 1/21-032, Bl.d.A. 249.</w:t>
      </w:r>
    </w:p>
    <w:p>
      <w:r>
        <w:t>- 12 -</w:t>
        <w:br/>
        <w:t>36. On 19.11.2008, Party 1 ordered CuNiSi pre-rolled strips C19010 from Party 3. In March 2009, Party 3 included the CuNiSi alloy family in its production program and began production of CuNiSi pre-rolled strip C19010 […].</w:t>
        <w:br/>
        <w:t>2. Pre-rolled strip made of CuNiSi alloys C70250</w:t>
        <w:br/>
        <w:t>37. In the Advisory Board meeting on 9.02.2010, the intensification of cooperation between Party 3 and […],30 which was generally welcomed by the Advisory Board, was discussed. However, […] wanted access to all alloys that could be technically produced by Party 3. As an example, […] mentioned the alloys C44250, C18655, and C70250. The Advisory Board approved the alloys C44250 and C18655. For the alloy C70250, the Advisory Board did not grant approval.31</w:t>
        <w:br/>
        <w:t>38. […] In the Advisory Board meeting on 4.11.2015, […] explicitly called on Party 3 to produce CuNiSi material C70250. […] rejected the inclusion of production at Party 3.32</w:t>
        <w:br/>
        <w:t>39. […]</w:t>
        <w:br/>
        <w:t>40. […] This situation continues […].</w:t>
        <w:br/>
        <w:t>IV. Previous Procedural History</w:t>
        <w:br/>
        <w:t>41. In a letter dated 18.01.2022, Party 1 requested a consultation letter regarding questions at the interface between “exercise of shareholder rights and antitrust law.” The subject of the consultation request was whether the points listed under i) to v) are compatible with antitrust law, namely,</w:t>
        <w:br/>
        <w:t>i) […],</w:t>
        <w:br/>
        <w:t>ii) […],</w:t>
        <w:br/>
        <w:t>iii) […],</w:t>
        <w:br/>
        <w:t>iv) […]</w:t>
        <w:br/>
        <w:t>v) […].</w:t>
        <w:br/>
        <w:t>30 […]</w:t>
        <w:br/>
        <w:t>31 Minutes of the Advisory Board meeting of 9.02.2010, B5 1/21-032, Bl.d.A. 318 ff, 318.</w:t>
        <w:br/>
        <w:t>32 Minutes of the Advisory Board meeting on 4.11.2015, B5-1/21-032, Bl.d.A. 339, 340.</w:t>
      </w:r>
    </w:p>
    <w:p>
      <w:r>
        <w:rPr>
          <w:b/>
        </w:rPr>
        <w:t>[Pages 13–15]</w:t>
      </w:r>
    </w:p>
    <w:p>
      <w:r>
        <w:t>- 13 -</w:t>
        <w:br/>
        <w:t>42. In a telephone conference on 22.02.2022, these questions were discussed with Party 1 and its legal representative. During this discussion, Party 1 was informed as a preliminary assessment regarding the previously listed questions that the Decision Division viewed the consent arrangements jointly made by the shareholders in Party 3 as problematic. This applied both to the manufacturing of new alloys for third parties and to the refusal of consent for the supply of Party 1 by Party 3.</w:t>
        <w:br/>
        <w:t>43. On 20.05.2022, the Decision Division initiated an administrative procedure against Parties 1 - 3 with three identical letters to examine whether and to what extent the contractual design of the cooperation between Party 1 and Party 2 within the framework of the activities of Party 3 constitutes agreements between companies aimed at preventing, restricting, or distorting competition between the shareholders.</w:t>
        <w:br/>
        <w:t>44. Party 2 had already submitted an initial statement on 23.03.2022 prior to the initiation of proceedings. With a letter dated 15.07.2022, it responded to the initiation of proceedings. Further statements were made on 6.10.2022 and 23.02.2023.</w:t>
        <w:br/>
        <w:t>45. On 7.06.2022, Party 2 submitted a request for file inspection and expanded this on 22.06.2022 to include the statement of Party 1 dated 10.06.2022. The legal representative of Party 1 responded to the request for file inspection with a letter dated 27.06.2022.</w:t>
        <w:br/>
        <w:t>46. The Decision Division sent the legal representative of Party 2 an inventory of file B5-56/22 and non-confidential versions of the statements of Parties 1 and 3 on 31.08.2022. On 7.09.2022, the Decision Division sent the non-confidential version of the statement of Party 1 dated 30.08.2022 and an inventory of file B5 1/21/03233 to the legal representative of Party 2.</w:t>
        <w:br/>
        <w:t>47. Party 1 responded to the initiation of proceedings with a letter dated 10.06.2022. Upon request, the Decision Division provided Party 1 with a non-confidential version of the statement of Party 2 dated 15.07.2022 on 9.08.2022. Party 1 responded to the letter of Party 2 dated 15.07.2022 with a letter dated 30.08.2022. The Decision Division provided Party 1 with the non-confidential statement of Party 3 dated 3.06.2022 on 18.08.2022 and on 2.09.2022 a non-confidential version of the statement of Party 2 dated 23.03.2022. Party 1 responded to the letter of Party 2 dated 23.03.2022 with a letter dated 16.09.2022.</w:t>
        <w:br/>
        <w:t>48. […].</w:t>
        <w:br/>
        <w:t>49. Party 3 submitted a statement regarding the initiation of proceedings with a letter dated 3.06.2022. Party 3 filed a request for file inspection on 17.10.2022. The Decision Division transmitted the non-confidential versions of the statements of Parties 1 and 2 that were already available at that time to Party 3 on 19.10.2022. On 28.11.2022, Party 3 provided an oral statement during a telephone call. The Decision Division prepared a note regarding the conversation with Party 3, coordinated it with Party 3, and provided a non-confidential version to Parties 1 and 2.</w:t>
        <w:br/>
        <w:t>50. The Decision Division made the non-confidential statements of Party 2 dated 16.09.2022 and 27.10.2022 available to Parties 1 and 3 in the context of the file inspection. On 25.01.2023, the Decision Division provided Party 1 and on 27.01.2023 Party 2 with the non-confidential version of the conversation note regarding a meeting with Party 3 on 28.11.2022 in the context of the file inspection.</w:t>
        <w:br/>
        <w:t>51. Party 2 responded with a letter dated 23.02.2023 to the statements of Party 1 dated 16.09.2022 and 27.10.2022 as well as the non-confidential version of the conversation note regarding a meeting with Party 3 on 28.11.2022. The statement of Party 2 was made available to Parties 1 and 3 on 8.03.2023. Parties 1 and 3 each responded with letters dated 3.04.2023.</w:t>
        <w:br/>
        <w:t>52. Party 2 received non-confidential versions of the statements of Parties 1 and 3 dated 3.04.2023.</w:t>
      </w:r>
    </w:p>
    <w:p>
      <w:r>
        <w:t>- 15 -</w:t>
        <w:br/>
        <w:t>53. On 4.07.2023, the Decision Division visited the premises of Party 3, consisting of a metal storage facility, a foundry with three casting systems, a hot rolling and cold rolling mill, as well as other strip processing facilities in Stolberg near Aachen. Representatives of Parties 1 and 2 were also present.</w:t>
        <w:br/>
        <w:t>54. The Decision Division informed the European Commission immediately after the initiation of the first formal investigative actions about the initiated procedure in accordance with Art. 11 Abs. 3 VO 1/2003.</w:t>
        <w:br/>
        <w:t>55. With a draft decision dated 29.08.2023, the Decision Division communicated to Parties 1 - 3 the reasons why it considers the consent requirement of the Advisory Board established by Party 3 for the introduction of new business areas, partial or complete abandonment of previously exercised business areas, significant changes to the product mix or customer portfolio, as well as the agreement reached in the Advisory Board meeting on 9.11.2005 between Parties 1 and 2, documented in the final version of the minutes dated 18.09.2006, whereby both shareholders agree that the introduction of new alloys and alloy groups generally requires the consent of the Advisory Board, and the management of Party 3 must obtain the consent of the Advisory Board prior to the start of market introduction, to be problematic in light of § 1 GWB and Art. 101 Abs. 1 AEUV. These are agreements between the competing Parties 1 and 2, which, according to the preliminary assessment of the Decision Division, lead to a coordination of competition between Parties 1 and 2 and could result in a restriction of competition in the downstream market for copper rolled products in the EEA. The requirement for coordination and a unanimous decision in the equally composed Advisory Board also allows the shareholders, according to the preliminary assessment of the Decision Division, to coordinate in supplying third parties and to shield their respective market positions in the downstream market against potentially encroaching competition from third parties. Furthermore, it is also possible for Parties 1 and 2, as shareholders of Party 3, according to the preliminary assessment of the Decision Division, to terminate the existing third-party customer business of Party 3 with pre-rolled strips to the detriment of the third-party customers.</w:t>
        <w:br/>
        <w:t>56. The state cartel authorities of Baden-Württemberg, Hamburg, and North Rhine-Westphalia were informed by letter dated 29.08.2023 about the intended decision.</w:t>
      </w:r>
    </w:p>
    <w:p>
      <w:r>
        <w:rPr>
          <w:b/>
        </w:rPr>
        <w:t>[Pages 16–18]</w:t>
      </w:r>
    </w:p>
    <w:p>
      <w:r>
        <w:t>- 16 -</w:t>
        <w:br/>
        <w:t>57. The Decision Division informed the European Commission on 29.08.2023 about the intended issuance of a decision ordering the cessation of the possible infringement in accordance with Art. 11 Abs. 4 VO 1/2003. On 5.10.2023, a meeting took place with representatives of the Commission and the Decision Division regarding the draft decision from 29.08.2023. The points raised by the Commission were explained orally by the Decision Division.</w:t>
        <w:br/>
        <w:t>58. In a letter dated 13.10.2023, Parties 1 and 2 submitted comments and clarifications on the draft decision, which are also relevant in the event of a resolution under § 32 b GWB. On 17.10.2023, the Decision Division discussed the respective statements with Parties 1 and 2 in the context of two separate phone calls.</w:t>
        <w:br/>
        <w:t>59. Party 3 communicated via email on 14.10.2023 that it had no comments on a resolution based on § 32 b GWB that was based on the existing draft decision.</w:t>
        <w:br/>
        <w:t>60. On 11.12.2023, the Decision Division informed Parties 1 to 3 about the points in which commitments should reflect the provisions made in the tenor of the draft order from 29.08.2023. At the same time, it provided the parties with a text for commitments as an annex, which addresses the points raised by the Decision Division.</w:t>
        <w:br/>
        <w:t>61. Party 3 submitted a statement on 16.01.2024. On 19.01.2024 and 22.01.2024, Parties 2 and 1 sent a coordinated draft for commitments between them. Both parties indicated that they could only commit to the commitments once they had also received the draft decision under § 32 b GWB and had the opportunity to comment.</w:t>
        <w:br/>
        <w:t>62. On 26.02.2024, the Decision Division sent Parties 1 to 3 the draft decision under § 32 b GWB and granted them the opportunity to comment. Party 1 submitted comments on the draft decision on 28.03.2024, and Party 2 did so on 8.04.2024.</w:t>
        <w:br/>
        <w:t>63. The Decision Division informed the European Commission on 13.05.2024 about the intended issuance of a decision under § 32 b GWB in accordance with Art. 11 Abs. 4 VO 1/2003. The notification was based on the draft decision from 22.04.2024, which had been transmitted to Parties 1 to 3 with a cover letter dated 23.04.2024. On 11.06.2024, a meeting took place with representatives of the Commission and the Decision Division regarding the draft decision. Among other things, the question was discussed whether it was a case of the application of Article 101 paragraph 1 concerning agreements within the meaning of letter b) or c) in the context of paragraph 12 of the revised Horizontal Guidelines.</w:t>
        <w:br/>
        <w:t>B. Commitments</w:t>
        <w:br/>
        <w:t>64. In a letter dated […] 2024, Parties 1 to 3 offered the commitments specified below as commitments in the proceedings under § 32 b Abs. 1 sentence 1 GWB.</w:t>
        <w:br/>
        <w:t>65. Parties 1 and 2 have, through the agreement attached to these commitments dated […] 2024, which is part of these commitments, revoked the requirement for the approval of the Advisory Board for the inclusion of new business areas, the partial or complete abandonment of previously exercised business areas, as well as significant changes to the product mix or customer portfolio as stipulated in § 5 2. a) of the management directive for Party 3, and commit to refrain from any further application in the future with immediate effect.</w:t>
        <w:br/>
        <w:t>66. Parties 1 and 2 have, through the agreement attached to these commitments dated […] 2024, which is part of these commitments, revoked the agreement reached in the Advisory Board meeting on 9.11.2005 between Parties 1 and 2, which was documented in the final version of the minutes dated 18.09.2006, whereby both partners agreed that the inclusion of new alloys and alloy groups into the product portfolio of Party 3 generally requires the approval of the Advisory Board and that the management of Party 3 must obtain the approval of the Advisory Board before the market launch, and commit to refrain from any further application in the future with immediate effect.</w:t>
        <w:br/>
        <w:t>67. Party 3 commits, with immediate effect, to independently and profit-oriented conduct its economic activity - the production and distribution of metal products of all kinds - in accordance with its technological competence. […]</w:t>
        <w:br/>
        <w:t>68. Parties 1 and 2 commit, with immediate effect, to refrain from any form of influence on the production and distribution of metal products of all kinds by Party 3, both in business with the partners and in business with third-party customers in the future, in order to ensure that Party 3 operates independently and profit-oriented to the extent outlined in the previously mentioned commitment. This particularly applies to a repetition or continuation of the agreements mentioned in paragraphs 65 and 66.</w:t>
        <w:br/>
        <w:t>69. Parties 1 to 3 commit to appointing an independent and knowledgeable trustee immediately after the delivery of this decision and the approval of the Decision Division regarding the person of the trustee. The trustee must be independent of the parties and free from current or potential conflicts of interest and possess the necessary qualifications for his task. The trustee's task is to monitor the fulfillment of the four commitments listed above and to submit a written report to the Decision Division once a year, initially no later than six months after taking over the trusteeship, regarding the status of implementation and compliance with the commitments.</w:t>
        <w:br/>
        <w:t>70. The appointment of the trustee and the trustee agreement require the prior approval of the Decision Division. Parties 1 to 3 commit to submitting a proposal for the office of the trustee, along with the underlying trustee agreement, to the Decision Division within one week after the delivery of this decision. Should the Decision Division reject the proposed candidate and/or the trustee agreement, Parties 1 to 3 shall submit at least two additional proposals and/or a revised version of the trustee agreement based on the suggestions of the Decision Division within one week after receiving the rejection decision from the Decision Division. Should these proposals also not receive approval, a trustee appointed by the Decision Division will be appointed or a contract drafted by the Decision Division will be used.</w:t>
        <w:br/>
        <w:t>71. Parties 1 to 3 commit to providing the trustee with any useful cooperation, support, and information that he needs to fulfill his tasks. For this purpose, Parties 1 to 3 grant the trustee access to all books, records, documents, employees, facilities, locations, and technical information necessary for the fulfillment of his mandate. This includes, in particular, documents relating to the Advisory Board meetings and their preparation and follow-up. Parties 1 to 3 grant the trustee the right to participate in the Advisory Board meetings and their preparation and follow-up.</w:t>
      </w:r>
    </w:p>
    <w:p>
      <w:r>
        <w:rPr>
          <w:b/>
        </w:rPr>
        <w:t>[Pages 19–21]</w:t>
      </w:r>
    </w:p>
    <w:p>
      <w:r>
        <w:t>- 19 -</w:t>
        <w:br/>
        <w:t xml:space="preserve">72. Parties 1 to 3 undertake to bear the costs of the monitoring trustee. The engagement of the trustee for the implementation and compliance with the four obligations listed above initially covers a period of three years. The Decision Division has the right to extend this period by one year.  </w:t>
        <w:br/>
        <w:t xml:space="preserve">C. Legal Assessment  </w:t>
        <w:br/>
        <w:t xml:space="preserve">73. § 32 b GWB opens up the possibility for the antitrust authority to declare commitments offered by companies binding by order if they are suitable to eliminate the concerns communicated in a preliminary assessment regarding an agreement covered by § 1 GWB. With the draft order dated 29.08.2023, the Decision Division communicated its preliminary assessment to Parties 1 to 3.  </w:t>
        <w:br/>
        <w:t xml:space="preserve">74. The commitments offered by Parties 1 to 3 in the letter dated […] 2024 are, in the opinion of the Federal Cartel Office, suitable to address the concerns communicated in the letter from the Federal Cartel Office dated 29.08.2023 regarding the approval requirement of the advisory board established by Party 3 in § 5.2.a) of the management directive for the inclusion of new business areas, the partial or complete abandonment of previously exercised business areas, as well as significant changes to the product mix or customer portfolio, and the agreement reached in the advisory board meeting on 9.11.2005 between Parties 1 and 2, documented in the final version of the minutes dated 18.09.2006, whereby both shareholders agree that the inclusion of new alloys and alloy groups into the product portfolio of Party 3 generally requires the approval of the advisory board and that the management of Party 3 must obtain the approval of the advisory board prior to the start of market introduction.  </w:t>
        <w:br/>
        <w:t>75. By abolishing the two agreements, as set out in paragraphs 65 and 66, Parties 1 and 2 prevent any potential coordination of market behavior between Parties 1 and 2. The mutual obligation to refrain from application in the future ensures that any potential coordination of market behavior between Parties 1 and 2 will also not occur in the future. Decisions and actions of the shareholders that indirectly influence the production and supply of pre-rolled strips, such as new safety standards, new sustainability standards, or export control requirements, remain unaffected by the obligations of Parties 1 and 2 set out in paragraphs 65 and 66.</w:t>
      </w:r>
    </w:p>
    <w:p>
      <w:r>
        <w:t>- 20 -</w:t>
        <w:br/>
        <w:t xml:space="preserve">76. The obligation of Party 3 set out in paragraph 67 to independently and profit-oriented exercise its economic activity within the framework of its technological competence includes the production of and supply with alloys in both its business with the shareholders and its business with third-party customers. This obligation is complementary to the obligations of Parties 1 and 2 set out in paragraphs 65, 66, and 68 and clarifies and specifies the condition that must be maintained for compliance with antitrust law.  </w:t>
        <w:br/>
        <w:t xml:space="preserve">77. The jointly controlled Party 3 by Parties 1 and 2 is a full-function joint venture that, although it cannot make its strategic decisions independently, is economically independent in operational terms. Within the framework of the operationally economically independent activity of Schwermetall, the shareholder and third-party business are inextricably linked. Party 3 has had the right to supply third parties with pre-rolled strips since its establishment. Since 1975, Party 3 has utilized existing capacities to improve its economic base for the production and supply to third-party customers. […] The obligation of Party 3 to independently and profit-oriented exercise its economic activity within the framework of its technological competence is intended to ensure that Party 3 maintains the third-party business at the level exercised in recent years. A decline in third-party business caused by external factors does not constitute a violation of the obligation set out in paragraph 67.  </w:t>
        <w:br/>
        <w:t xml:space="preserve">78. The obligation set out in paragraph 67 generally includes the production of and supply with alloys in total, both in the business with the shareholders and in the business with third-party customers. According to the findings of the Commission in the procedure M. 8900 – WIELAND / AURUBIS ROLLED PRODUCTS / SCHWERMETALL, the planning of sales for third-party customers, including contractual conditions and/or prices, is carried out by Party 3. […] The aim of this obligation is to maintain the third-party business.  </w:t>
        <w:br/>
        <w:t xml:space="preserve">35 Decision of the Commission in the merger control procedure M. 8900 – WIELAND / AURUBIS ROLLED PRODUCTS / SCHWERMETALL, paragraph 599, according to which in 2017 approximately one-third of the quantity was attributable to the third-party business. Statement from Schwermetall dated 3.06.2022, B5 56/22, file of the authority 233, […].  </w:t>
        <w:br/>
        <w:t>36 The Commission stated in the merger control procedure M. 8900 – WIELAND / AURUBIS ROLLED PRODUCTS / SCHWERMETALL regarding the price autonomy of Schwermetall towards third parties in paragraphs 641 f as follows: “Prior to the Transaction, Schwermetall enjoys operational autonomy when negotiating with third-party customers. In particular, Schwermetall sets its prices at arm's length independently of its parents. Prices are determined by market conditions and are unknown to Wieland and ARP. Neither Wieland nor ARP know the commercial conditions agreed directly between Schwermetall and its third-party customers. Although the parents of the joint venture may indirectly influence the price to third parties, […], in the form of […]. Moreover, although the parents of</w:t>
      </w:r>
    </w:p>
    <w:p>
      <w:r>
        <w:t>- 21 -</w:t>
        <w:br/>
        <w:t xml:space="preserve">Party 3 determine […], as they have priority in […] for their own production of rolled products, the planning of sales to third parties is done by Schwermetall, as shown in Schwermetall's medium-term planning: “The quantity planning of the partners and their group companies was incorporated into the planning without changes. The planning of sales for third-party customers was carried out by Schwermetall.” Also, the information received by the joint-venture parents on sales to third-party customers is aggregated.”  </w:t>
        <w:br/>
        <w:t xml:space="preserve">79. The obligation set out in paragraphs 69 to 72 is intended to ensure that Parties 1 and 2 guarantee the obligation of Party 3 set out in paragraph 67 and do not circumvent the obligations set out in paragraphs 65 and 66 by repetition or continuation in the future. Decisions and actions of the shareholders that indirectly influence the production and supply of pre-rolled strips, such as new safety standards, new sustainability standards, or export control requirements, remain unaffected by the obligation of Parties 1 and 2 set out in paragraph 65.  </w:t>
        <w:br/>
        <w:t xml:space="preserve">80. The obligations set out in paragraphs 69 to 72 regarding the use of a trustee serve to initially establish the monitoring of the obligations imposed on Parties 1 to 3 in paragraphs 65 to 68 by an independent third party for a period of three years. The trustee proposed and to be paid by the parties will monitor the implementation and compliance with the obligations of the parties set out in paragraphs 65 to 68 after approval by the Decision Division and will report in writing to the Decision Division. The trustee will have access to all books, records, documents, employees, facilities, locations, and technical information from Parties 1 to 3 that are necessary for the fulfillment of its mandate. The trustee has the right to participate in the advisory board meetings and their preparation and follow-up.  </w:t>
        <w:br/>
        <w:t xml:space="preserve">81. The obligations set out in paragraphs 69 to 72 ensure that the 18-year-long blockade of the shareholders of Party 3 is successfully overcome and that the obligations undertaken by Parties 1 to 3 set out in paragraphs 65 to 68 do not "expire."  </w:t>
        <w:br/>
        <w:t>82. The Decision Division therefore declares the commitments binding at its discretion and terminates the proceedings against Parties 1 to 3, subject to its powers contained in § 32 b Abs. 2 GWB.</w:t>
      </w:r>
    </w:p>
    <w:p>
      <w:r>
        <w:rPr>
          <w:b/>
        </w:rPr>
        <w:t>[Pages 22–23]</w:t>
      </w:r>
    </w:p>
    <w:p>
      <w:r>
        <w:t>- 22 -</w:t>
        <w:br/>
        <w:t>D. FEES</w:t>
        <w:br/>
        <w:t>83. Official actions based on § 32 b GWB are subject to fees in accordance with § 62 Abs. 1 Sentence 2 No. 2 GWB. The cartel authority may charge fees of up to 25,000 Euros, and in cases of particularly significant economic importance and exceptional administrative effort, up to 50,000 Euros (§ 62 Abs. 2 Sentence 2 No. 2 in conjunction with Sentence 3 GWB).</w:t>
        <w:br/>
        <w:t>84. […]</w:t>
        <w:br/>
        <w:t>85. […]</w:t>
        <w:br/>
        <w:t>86. […]</w:t>
        <w:br/>
        <w:t>87. […]</w:t>
        <w:br/>
        <w:t>88. […]</w:t>
      </w:r>
    </w:p>
    <w:p>
      <w:r>
        <w:t>- 23 -</w:t>
        <w:br/>
        <w:t>Legal Remedy Information</w:t>
        <w:br/>
        <w:t xml:space="preserve">An appeal against this decision is permitted. It must be submitted within a period of one month starting from the delivery of the decision to the Federal Cartel Office, 53113 Bonn. However, it is sufficient if it is received within this period by the appellate court, the Higher Regional Court of Düsseldorf. </w:t>
        <w:br/>
        <w:t>The appeal must be substantiated. The grounds for the appeal must be submitted to the Federal Cartel Office or the appellate court. The deadline for the grounds of the appeal is two months. It begins with the delivery of the contested decision and can be extended upon request by the presiding judge of the appellate court. The grounds for the appeal must include a statement indicating the extent to which the decision is being contested and the request for its amendment or annulment, as well as the facts and evidence, including any new ones, on which the appeal is based.</w:t>
        <w:br/>
        <w:t>The parties must be represented by a lawyer as their authorized representative when filing and substantiating the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