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https://www.bundeskartellamt.de/SharedDocs/Entscheidung/DE/Fallberichte/Fusionskontrolle/2018/B5-62-18.pdf?__blob=publicationFile&amp;v=2</w:t>
      </w:r>
    </w:p>
    <w:p>
      <w:r>
        <w:t>Pages translated : 4</w:t>
      </w:r>
    </w:p>
    <w:p/>
    <w:p>
      <w:r>
        <w:rPr>
          <w:b/>
        </w:rPr>
        <w:t>[Pages 1–3]</w:t>
      </w:r>
    </w:p>
    <w:p>
      <w:r>
        <w:t xml:space="preserve">1  </w:t>
        <w:br/>
        <w:t xml:space="preserve">Case Report August 20, 2018  </w:t>
        <w:br/>
        <w:t xml:space="preserve">Merger Control: Increase of Aurubis' Stake in Deutsche Gießdraht to 100%  </w:t>
        <w:br/>
        <w:t xml:space="preserve">Industry: Metal Industry  </w:t>
        <w:br/>
        <w:t xml:space="preserve">File Number: B5-62/18  </w:t>
        <w:br/>
        <w:t xml:space="preserve">Date of Decision: July 13, 2018  </w:t>
        <w:br/>
        <w:t xml:space="preserve">The Federal Cartel Office has approved the acquisition of 40% of the shares in and thus the sole control over Deutsche Gießdraht GmbH, Emmerich am Rhein ("Deutsche Gießdraht"), by Aurubis AG, Hamburg ("Aurubis"), thereby increasing the stake to 100% in the main examination procedure. The investigations have shown that the merger does not lead to a significant impediment to effective competition.  </w:t>
        <w:br/>
        <w:t xml:space="preserve">Deutsche Gießdraht is a joint venture founded in 1975 and produces copper rod in a plant in Emmerich am Rhein. Aurubis has so far held 60% of the business shares and 50% of the voting rights in Deutsche Gießdraht. The remaining business and voting shares were held by Codelco Kupferhandel GmbH, Düsseldorf ("Codelco"), a subsidiary of the Chilean copper group Corporación Nacional del Cobre de Chile. Deutsche Gießdraht processes copper cathodes into copper rod for its two parent companies. Aurubis and Codelco have so far marketed this rod from Emmerich under the brand "Rhein-Rod" in competition with each other.  </w:t>
        <w:br/>
        <w:t>Aurubis is a leading global provider of non-ferrous metals and processes complex metal concentrates, scrap metals, and metal-containing recycling materials. Aurubis covers the entire copper value chain from the production of primary copper through the processing of copper to the recycling of secondary raw materials and is already the largest supplier of copper rod in the European Economic Area (EEA) prior to the merger. In the fiscal year 2016/2017, Aurubis achieved a group turnover of over 11 billion euros and employed around 6,500 employees.</w:t>
      </w:r>
    </w:p>
    <w:p>
      <w:r>
        <w:t xml:space="preserve">2  </w:t>
        <w:br/>
        <w:t xml:space="preserve">The merger project concerns the EEA-wide market for copper rod. Whether oxygen-free copper rod constitutes a separate market did not need to be decided.  </w:t>
        <w:br/>
        <w:t xml:space="preserve">Copper rod is an intermediate product demanded by traders and further processors. The rod is the basic product for the cable and wire industry and is processed into, among other things, cables, wires, ropes, strands, and profiles, which are used in the manufacture of electrical appliances, in the automotive industry, in communication and data technology, in mechanical and plant engineering, in medical technology, in aerospace, as well as in military and defense technology. To a significant extent, copper rod is also used by vertically integrated copper producers for their own production of wires and cables.  </w:t>
        <w:br/>
        <w:t xml:space="preserve">Legally, Aurubis does not acquire the customer relationships of Codelco with the merger. However, even if Aurubis were to de facto gain all customers and thus the corresponding market shares as a result of the merger, the merger does not, based on the available findings, lead to a significant impediment to effective competition.  </w:t>
        <w:br/>
        <w:t xml:space="preserve">Codelco is a close competitor of Aurubis regarding the sale of the production of Deutsche Gießdraht, which will no longer exist due to the merger. Codelco and Aurubis have so far independently marketed the production of Deutsche Gießdraht and thus offered more or less identical products in competition with each other from the perspective of their customers. However, almost all buyers operate multi-sourcing and will continue to be able to do so after the merger. It is also not expected that the merger will lead to price increases.  </w:t>
        <w:br/>
        <w:t>The buyers already source copper rod from more than one supplier before the merger. Multi-sourcing is a permanent strategy of the buyers, including the customers of the parties involved in the merger. The majority of buyers have so far sourced copper rod only from one of the parties involved in the merger. Significant additional suppliers of copper rod in the EEA include, among others, the German company MKM, a manufacturer of semi-finished products and semi-finished goods made of copper and copper alloys, the Polish company KGHM, which operates at almost all stages of the value chain in copper, and the Electrokoppar belonging to the Elcowire Group. According to its own statements, the Elcowire Group is the largest producer of copper rod in Northern Europe. Other competitors include, among others, the French company Nexans and the Italian company Carlo Colombo. The investigations of the Federal Cartel Office have shown that the aforementioned companies are also considered by the customers of the parties involved in the merger as potential suppliers and that significant supply relationships already exist with these providers.</w:t>
      </w:r>
    </w:p>
    <w:p>
      <w:r>
        <w:t xml:space="preserve">3  </w:t>
        <w:br/>
        <w:t xml:space="preserve">The Federal Cartel Office could not predict with the required certainty that the merger would lead to price increases for the buyers. This applies both to possible unilateral price increases by Aurubis and to subsequent price increases by other providers ("second-round effect").  </w:t>
        <w:br/>
        <w:t xml:space="preserve">The investigations of the Federal Cartel Office have shown that a significant number of customers of the parties involved in the merger would attempt to switch substantial quantities, for example, to MKM, KGHM, and Nexans in the event of a 10% price increase by Aurubis. A price increase attempt by Aurubis undertaken in the period 2010-2012 has, as far as the Federal Cartel Office was able to verify the presentation of the parties involved in the merger due to the elapsed time, actually led to a certain shift of quantities, although not to the extent claimed by the parties involved in the merger.  </w:t>
        <w:br/>
        <w:t xml:space="preserve">The presentation of the parties involved in the merger, supported by a market study, that competitors have sufficient unused capacities to supply willing-to-switch customers could not be disproven by the Federal Cartel Office through its own investigations. The parties involved in the merger have stated that the market for copper rod is characterized by significant unused capacities and high supply elasticity. The Federal Cartel Office could only substantiate this presentation of the parties involved in the merger. On this basis, only the previously mentioned significant additional suppliers Electrokoppar, MKM, and KGHM together had sufficient unused capacities to absorb the entire EEA-wide sales of Codelco.  </w:t>
        <w:br/>
        <w:t xml:space="preserve">Aurubis also has by far the largest production capacities and thus high fixed costs. The high unused capacities of Aurubis and the fact that Aurubis does not acquire customer relationships from Codelco and thus does not directly gain a larger sales base through the merger reduces the incentive for Aurubis to reduce its own supply quantity after the merger in order to enforce higher prices in the market.  </w:t>
        <w:br/>
        <w:t>Due to the number of supply alternatives actually utilized by the buyers, no "second-round effects" in the form of aligned behavior of competitors in response to a potential relevant deterioration in supply by the parties involved in the merger can be expected with sufficient probability. On the one hand, competitors would at least theoretically have the incentive,</w:t>
      </w:r>
    </w:p>
    <w:p>
      <w:r>
        <w:rPr>
          <w:b/>
        </w:rPr>
        <w:t>[Pages 4–4]</w:t>
      </w:r>
    </w:p>
    <w:p>
      <w:r>
        <w:t xml:space="preserve">4  </w:t>
        <w:br/>
        <w:t xml:space="preserve">to supply customers willing to switch from Aurubis. For them, a corresponding increase in sales would result in their unit costs tending to decrease with increasing sales volume. Furthermore, it is not certain that a price increase by these competitors in response to a possible price increase by Aurubis would actually be profitable. There would be at least some risk that competitors would have to accept sales losses to an extent that would make such a strategy appear unprofitable.  </w:t>
        <w:br/>
        <w:t xml:space="preserve">The merger also does not lead to any expected coordinated effects. Firstly, the market is characterized by strong asymmetry on both the supply and demand sides. Furthermore, the actual competitive developments of recent years – such as the quantity developments of individual providers – argue against coordinated effects. Ultimately, the market is neither sufficiently transparent nor are there corresponding sanctioning possibilities for deviations by market participants from a conceivable coordinated behavior.  </w:t>
        <w:br/>
        <w:t>The investigations by the Federal Cartel Office have also revealed indications that could suggest that Aurubis might intend to stop supplying certain Codelco customers with copper rod from the production of Deutsche Gießdraht shortly after the merger is completed. Should Aurubis indeed terminate long-standing Codelco supply relationships in the short term, even though this would not correspond to the incentive structure presented by Aurubis itself, the Federal Cartel Office could be prompted to enforce at least a temporary continued supply to customers who rely on the procurement of copper rod of the "Rhein-Rod" brand through abuse supervision.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