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https://www.bundeskartellamt.de/SharedDocs/Entscheidung/DE/Fallberichte/Fusionskontrolle/2023/B5-64-23.pdf;jsessionid=BF0CAEA2F0F04EC98E801CDDF9AB6118.2_cid380?__blob=publicationFile&amp;v=4</w:t>
      </w:r>
    </w:p>
    <w:p>
      <w:r>
        <w:t>Pages translated : 4</w:t>
      </w:r>
    </w:p>
    <w:p/>
    <w:p>
      <w:r>
        <w:rPr>
          <w:b/>
        </w:rPr>
        <w:t>[Pages 1–3]</w:t>
      </w:r>
    </w:p>
    <w:p>
      <w:r>
        <w:t xml:space="preserve">Case Report January 11, 2024  </w:t>
        <w:br/>
        <w:t xml:space="preserve">Acquisition of the operational subsidiaries of Friedrich Hofmann GmbH by Veolia Umweltservice GmbH  </w:t>
        <w:br/>
        <w:t xml:space="preserve">Industry: Waste Management  </w:t>
        <w:br/>
        <w:t xml:space="preserve">File Number: B5-64/23  </w:t>
        <w:br/>
        <w:t>Date of Decision: November 28, 2023</w:t>
      </w:r>
    </w:p>
    <w:p>
      <w:r>
        <w:t>On November 28, 2023, the Federal Cartel Office approved the acquisition of the operational subsidiaries of Friedrich Hofmann GmbH, Büchenbach, by Veolia Umweltservice GmbH, Hamburg, subject to conditions, particularly that a disposal site of the parties involved located at Dieselstraße 24 in Nuremberg must be sold to an independent competitor, which is approved by the Federal Cartel Office.</w:t>
      </w:r>
    </w:p>
    <w:p>
      <w:r>
        <w:t>Veolia operates in Germany not only in waste disposal and material recycling but also in drinking water supply, wastewater treatment, and energy supply. In the field of waste disposal, Veolia collects various types of waste for commercial and industrial customers as well as for municipalities, dual systems, and end consumers. Since spring 2022, the dual system Belland Vision GmbH, Pegnitz, has also been part of Veolia.</w:t>
      </w:r>
    </w:p>
    <w:p>
      <w:r>
        <w:t>Hofmann, as a larger medium-sized company, is particularly active in the collection, i.e., collection and transport, of municipal waste (residual, bio, and bulky waste), lightweight packaging (LVP), glass packaging, waste paper, and non-hazardous commercial waste, especially in Franconia. In addition, Hofmann is involved in the sorting of waste paper and participates in a sorting facility for non-hazardous commercial waste.</w:t>
      </w:r>
    </w:p>
    <w:p>
      <w:r>
        <w:t xml:space="preserve">Relevant Markets  </w:t>
        <w:br/>
        <w:t>In the spatially relevant region of Franconia, the originally intended merger would have led to a significant impediment to effective competition in the markets for the household collection of LVP and glass packaging on behalf of dual systems as well as for waste paper on behalf of public law waste disposal authorities without the divestiture condition. In other markets affected by the merger project for the collection of residual, bio, and bulky waste as well as the collection of non-hazardous commercial waste, however, no significant impediment to effective competition was expected due to increased competition from additional providers and lower market entry barriers resulting from the merger. The same applies to the geographically further delineated markets for the sorting of mixed, non-hazardous commercial waste and the sorting of waste paper.</w:t>
      </w:r>
    </w:p>
    <w:p>
      <w:r>
        <w:t xml:space="preserve">Competitive Assessment  </w:t>
        <w:br/>
        <w:t>The combined market shares of the parties involved in the merger would have increased to [45-50]% in the markets for the household collection of LVP, glass packaging, and waste paper. The already existing, larger market share gaps between Hofmann in first place and the respective following competitor in second place would have increased by [30-35] percentage points in all three markets.</w:t>
      </w:r>
    </w:p>
    <w:p>
      <w:r>
        <w:t>Furthermore, investigations in the spatially relevant markets, particularly in the Greater Nuremberg/Fürth/Erlangen area, have shown only very subdued competition compared to the rest of Bavaria. Even before the merger, the number of submitted bids and contractor changes had been continuously declining. In over 60% of the tenders for LVP and in more than 80% of the tenders for glass packaging in recent years, at most only two bids were submitted, regularly only a single offer. The respective relative price gaps between the first bidder and the second bidder averaged more than 30%. Compared to the rest of Bavaria, prices and price gaps between the bids of the first and second bidders were higher in the spatially relevant area, and contractor changes in tenders were less frequent.</w:t>
      </w:r>
    </w:p>
    <w:p>
      <w:r>
        <w:t>The encounter rates between competitors in the spatially relevant market, including between the merger parties, were overall very low. Competitors, as well as the merger parties, have further focal areas within the spatially relevant market. Nevertheless, Veolia and Hofmann are both among the bidders with the most successful tenders in the spatially relevant market and thus currently exert high competitive pressure on each other in tenders. As a result of the merger, one applicant with high offering potential would be eliminated for the household collection services tendering in the spatially relevant market.</w:t>
      </w:r>
    </w:p>
    <w:p>
      <w:r>
        <w:t>An important role in the competitive assessment of this project was played by the existing market entry barriers in the household collection in the area.</w:t>
      </w:r>
    </w:p>
    <w:p>
      <w:r>
        <w:t>Market entries through the establishment of a new disposal site occur nationwide only to an extremely limited extent. Reasons for this include, in addition to the investments, primarily the lack of available sites suitable for waste management and the complex approval procedures. This is especially true for the highly dense, economically strong Greater Nuremberg area.</w:t>
      </w:r>
    </w:p>
    <w:p>
      <w:r>
        <w:t>Market entry without one's own site into the spatially relevant markets is theoretically possible if third-party disposers provide the entrant with sites and/or transshipment facilities for a fee or work as subcontractors for the entrant. Ultimately, however, new entry in these cases always depends on the offerings of the already established competitors and must factor in that they could also lose access to these sites. Even the entry of disposal companies that already have their own sites in the spatially relevant market but have not yet conducted household collection is difficult. These potential competitors in the spatially relevant market are largely small to medium-sized enterprises with average total revenues of around €20 million. For them, the additional required preliminary investments in personnel, vehicles, and containers, including their amortization, represent relatively high market entry barriers compared to the collection of commercial waste in the comprehensive collection of household waste.</w:t>
      </w:r>
    </w:p>
    <w:p>
      <w:r>
        <w:t xml:space="preserve">Conditions for Approval  </w:t>
        <w:br/>
        <w:t>To eliminate competitive concerns, the parties involved in the merger have therefore committed to divesting a suitable site in the relevant market area, which has all necessary waste law approvals, to a third provider who must have the financial resources, expertise, experience, and incentives to continue and expand the commitment package as an active competitor.</w:t>
      </w:r>
    </w:p>
    <w:p>
      <w:r>
        <w:t>Due to the existing market conditions, relatively high requirements were placed on the suitability of the acquirer. This also included specifications regarding the selection of the acquirer. To facilitate the market entry for the acquirer in the short term, the parties have also offered to sell a total of six contracts for the household collection of LVP (2x), glass packaging (2x), and PPK (2x) in the relevant market area to them, as well as to transfer the necessary resources for fulfilling the contracts, particularly employees, to the acquirer.</w:t>
      </w:r>
    </w:p>
    <w:p>
      <w:r>
        <w:t>According to the assessment of the decision-making department, this commitment will eliminate the competitive problems arising from the merger, so that the merger project can be approved under the suspensive condition, particularly of the divestiture of the offered site.</w:t>
      </w:r>
    </w:p>
    <w:p>
      <w:r>
        <w:rPr>
          <w:b/>
        </w:rPr>
        <w:t>[Pages 4–4]</w:t>
      </w:r>
    </w:p>
    <w:p>
      <w:r>
        <w:t>can. This is because the commitments enable a newly entering company in the market area to successfully establish itself as a competitor in the core area of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