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http://www.bundeskartellamt.de:80/SharedDocs/Entscheidung/DE/Fallberichte/Fusionskontrolle/2009/B6-123-09.pdf;jsessionid=0A72F0689616EF10BEBE713DA4379D04.1_cid371?__blob=publicationFile&amp;v=5</w:t>
      </w:r>
    </w:p>
    <w:p>
      <w:r>
        <w:t>Pages translated : 4</w:t>
      </w:r>
    </w:p>
    <w:p/>
    <w:p>
      <w:r>
        <w:rPr>
          <w:b/>
        </w:rPr>
        <w:t>[Pages 1–3]</w:t>
      </w:r>
    </w:p>
    <w:p>
      <w:r>
        <w:t>1</w:t>
        <w:br/>
        <w:t>Case Report March 26, 2010</w:t>
        <w:br/>
        <w:t>Approval in the Area of Outdoor Advertising – Acquisition of Wall AG by JCDecaux GmbH</w:t>
        <w:br/>
        <w:t>Industry: Outdoor Advertising</w:t>
        <w:br/>
        <w:t>File Number: B6-123/09</w:t>
        <w:br/>
        <w:t>Date of Decision: December 15, 2009</w:t>
        <w:br/>
        <w:t>The Federal Cartel Office has approved the project of JCDecaux Deutschland GmbH Cologne (JCDecaux) to acquire the majority of shares and sole control of Wall Aktiengesellschaft Berlin (Wall) within the one-month period. The merger does not lead to the emergence or strengthening of a dominant market position in the affected markets. During the investigations, it also became apparent that some competitive issues in the area of outdoor advertising, which were identified in the sector inquiry conducted in 2007, have already been alleviated.</w:t>
        <w:br/>
        <w:t>JCDecaux belongs to the French Decaux Group, which operates in the field of outdoor advertising and street furniture in Europe, North and South America, and Asia. In Germany, JCDecaux is represented in 17 cities with advertising media. Wall operates outdoor advertising primarily in Germany, but also in the USA, Turkey, Hungary, Romania, Bulgaria, and Egypt. Wall is represented in 52 German cities with advertising spaces, with a regional focus on Berlin.</w:t>
        <w:br/>
        <w:t>The merger concerns the regional markets for outdoor advertising in the cities of Hamburg, Cologne, and Stuttgart. Outdoor advertising1 refers to those forms of advertising that are accessible to people moving in public spaces without special access barriers and can be briefly perceived while passing by or driving past. As pedestrians, drivers, shoppers, or users of public transport, the population has constant contact with the advertising messages of outdoor advertising. Advertising spaces for outdoor advertising are located on municipal and private property. The market for outdoor advertising includes poster advertising (large formats, city light posters, mega lights, general locations, full locations, etc.) and advertising on transport vehicles externally.</w:t>
        <w:br/>
        <w:t>1 Cf. Federal Cartel Office, Activity Report 2007/2008, p. 143 ff.</w:t>
      </w:r>
    </w:p>
    <w:p>
      <w:r>
        <w:t>2</w:t>
        <w:br/>
        <w:t>The outdoor advertising media are largely interchangeable with each other. They all broadcast strongly regionally focusable advertising messages with high contact numbers to a broad target group in public spaces and are variously combined with each other in advertising campaigns. A further subdivision of the market according to the location of the advertising media—such as shopping centers, airports, or train stations—is not indicated. The advertising effects and target groups of a city light poster in the middle of a pedestrian zone, in a shopping center, at airports, or at train stations are comparable. Other media categories (newspapers, magazines, television, radio, internet) are not to be included in the market. The differences in presentation and perception in the various media categories suggest that the mix should not be regarded as an expression of the existence of only one market, but rather as confirmation of the existence of different relevant markets.</w:t>
        <w:br/>
        <w:t>Spatially, the outdoor advertising markets are to be delineated regionally.2 The supply of outdoor advertising spaces in Germany is highly fragmented. Even the networks of the large outdoor advertising companies, which have a largely nationwide presence, are insufficient for the placement of nationwide campaigns due to incomplete offerings of advertising media or gaps in the network. Hardly one-sixth of all outdoor advertising campaigns is placed nationwide—meaning also in small towns. Their revenue share is about one-third. The advertising spaces of different locations are not substitutable from the perspective of the advertising industry seeking demand.</w:t>
        <w:br/>
        <w:t>The largest provider in the German outdoor advertising market is Ströer Out of Home Media (Ströer) with a market share for all of Germany that is more than double that of the respective market shares of the main competitors Wall, JCDecaux, and AWK Aussenwerbung (including Degesta and Moplak). In addition, there are numerous medium-sized companies that primarily operate only regionally. The market volume of the German outdoor advertising market amounted to approximately €787 million in 2006, approximately €820 million in 2007, and approximately €805 million in 2008.3</w:t>
        <w:br/>
        <w:t>The conducted surveys have shown that in none of the affected regional outdoor advertising markets of Hamburg, Cologne, and Stuttgart is there a concern about the emergence or strengthening of a (single) dominant position of JCDecaux through the acquisition of Wall. In Hamburg and Cologne, Ströer is the market leader with a significant lead over JCDecaux. In Stuttgart, conversely, JCDecaux is the strongest competitor, also with a significant lead over Ströer. The increase in market shares through Wall is very small in each of the three cities.</w:t>
        <w:br/>
        <w:t>The emergence or strengthening of a competition-free and market-dominating duopoly of Ströer and JCDecaux/Wall in the cities of Hamburg, Cologne, and Stuttgart is also not expected. This was different in 2007 when JCDecaux and Wall wanted to establish a joint venture on an equal footing for the marketing of the advertising spaces of both companies. The merger project was reprimanded due to the strengthening of collectively dominant positions in the outdoor advertising markets of Cologne and Hamburg.4 Consequently, the merger project was not pursued further.</w:t>
        <w:br/>
        <w:t>The now changed market structure is not least a result of the sector inquiry in the area of outdoor advertising, which the Federal Cartel Office conducted in 2007. The occasion for the sector inquiry were complaints about long-term exclusive contracts between municipalities and outdoor advertisers. These contracts allow outdoor advertising companies to set up and market advertising media on public land. In return, the cities are usually not only involved in the advertising revenues but also receive, at the expense of the poster providers, so-called street furniture in the form of bus stops, public toilets, bicycle racks, waste bins, and other facilities for their citizens.</w:t>
        <w:br/>
        <w:t>Essentially, the following regulations between municipalities and outdoor advertisers were identified as competitively problematic: very long terms or automatic extensions, the conclusion of exclusive contracts, the coupling with street furniture, and English clauses (pre-emption rights). These competitive restrictions can lead to market closures, either individually or certainly in their combination. The preliminary assessment of the results of the sector inquiry suggested that such agreements could result in restrictions on competition regarding access to regional outdoor advertising markets to the detriment of other providers. A summary of the results of the sector inquiry was published in the Activity Report 2007/2008 of the Federal Cartel Office. In late 2009, furthermore, a position paper was issued regarding the antitrust issues.</w:t>
        <w:br/>
        <w:t>4 The outdoor advertising market in Stuttgart was not one of the affected markets in the proceedings B6-91/07 JCDecaux/Wall/GU.</w:t>
      </w:r>
    </w:p>
    <w:p>
      <w:r>
        <w:rPr>
          <w:b/>
        </w:rPr>
        <w:t>[Pages 4–4]</w:t>
      </w:r>
    </w:p>
    <w:p>
      <w:r>
        <w:t>4 The requirements for restoring competition in the regional outdoor advertising markets have been clearly articulated. The results of the sector inquiry and the consequences drawn from it have contributed to eliminating market closures in the regional or municipal outdoor advertising markets and breaking up existing competition-free duopolies. According to statements from market participants, the market has reacted to the findings in the activity report 2007/2008. Municipal advertising spaces are increasingly being put out to tender. New contracts between municipalities and outdoor advertisers no longer contain English clauses, pre-emption rights, and terms with automatic extensions, or their antitrust assessment has been made transparent to market participants through the position paper. Public tenders, such as in Hamburg and Stuttgart, also contribute to preventing market closures or crusting from occurring. The investigations in the merger procedure JCDecaux/Wall have confirmed this. The duopolies in Hamburg and Cologne are no longer symmetrical, but rather, as in Stuttgart, strongly asymmetrical. In Hamburg, Cologne, and Stuttgart, there have also been significant shifts in market shares in recent years to the detriment of JCDecaux/Wall and to the benefit of Ströer. The changed market structures show that there is now internal competition within the duopoly in the relevant regional markets. The result of the tender for municipal advertising spaces in Hamburg in 2007 will lead to a further shift in market shares in favor of Ströer. In Stuttgart, the lead of JCDecaux over Ströer will decrease in 2010, as JCDecaux lost spaces in the tender for municipal advertising spaces in Stuttgart in 2009. Furthermore, the duopoly is increasingly exposed to external competition. Deutsche Telekom AG entered the market as a new competitor in some cities (including Stuttgart Airport) in 2007 and is successfully participating in tenders for municipal advertising spaces.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