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https://www.bundeskartellamt.de/SharedDocs/Entscheidung/DE/Fallberichte/Kartellverbot/2020/B6-28-19.pdf;jsessionid=0E990943001B6FBCC10BC3AF598855AB.1_cid381?__blob=publicationFile&amp;v=3</w:t>
      </w:r>
    </w:p>
    <w:p>
      <w:r>
        <w:t>Pages translated : 4</w:t>
      </w:r>
    </w:p>
    <w:p/>
    <w:p>
      <w:r>
        <w:rPr>
          <w:b/>
        </w:rPr>
        <w:t>[Pages 1–3]</w:t>
      </w:r>
    </w:p>
    <w:p>
      <w:r>
        <w:t xml:space="preserve">Case Report December 9, 2020  </w:t>
        <w:br/>
        <w:t xml:space="preserve">Title: Central Marketing of Media Rights for Football Bundesliga Matches  </w:t>
        <w:br/>
        <w:t xml:space="preserve">Industry: Sports Media Rights  </w:t>
        <w:br/>
        <w:t xml:space="preserve">File Number: B 6 – 28/19  </w:t>
        <w:br/>
        <w:t>Date of Decision: March 20, 2020</w:t>
      </w:r>
    </w:p>
    <w:p>
      <w:r>
        <w:t>The Federal Cartel Office has concluded the proceedings to review the central marketing of media rights for men's football matches of the Bundesliga and the 2. Bundesliga and the marketing model based on central marketing for the seasons starting from 2021/2022 by accepting commitments in accordance with § 32b GWB.</w:t>
      </w:r>
    </w:p>
    <w:p>
      <w:r>
        <w:t>The rights for audiovisual reporting on the football matches of the Bundesliga and the 2. Bundesliga have traditionally been marketed centrally in Germany by the DFL Deutsche Fußball Liga e.V. (DFL e.V., formerly: Ligaverband e.V.). All Bundesliga clubs of the Bundesliga and the 2. Bundesliga are members of the DFL e.V. It holds the exclusive marketing rights to the audiovisual media rights in question both statutorily and contractually. The individual Bundesliga clubs are only authorized to conduct subordinate and delayed audiovisual reporting on the Bundesliga matches of their team. The operational implementation of the marketing is carried out by the DFL Deutsche Fußball Liga GmbH (DFL GmbH), a 100% subsidiary of the DFL e.V.</w:t>
      </w:r>
    </w:p>
    <w:p>
      <w:r>
        <w:t>According to the preliminary assessment by the Federal Cartel Office, the agreement on central marketing and the marketing model based on it for the seasons starting from 2021/22 restrict competition in the affected markets and therefore fall under the cartel prohibition. One affected market is the market for media transmission rights for year-round men's football competitions involving Bundesliga clubs for exploitation in Germany. On this market, the DFL holds a very high market share in terms of average license fees per season. On the other hand, it concerns the downstream national end customer market for live broadcasts of year-round conducted men's football competitions involving German Bundesliga clubs. In the downstream market, Sky Deutschland GmbH (Sky) also holds a high market share in terms of the total audience for all live broadcasts of the competitions attributed to the market.</w:t>
      </w:r>
    </w:p>
    <w:p>
      <w:r>
        <w:t>Central marketing leads to horizontal competition restrictions between the football clubs as original rights holders. The Federal Cartel Office continues to assume that the regulations on central marketing do not constitute horizontal core restrictions through an institutionalized joint distribution of rights with joint price setting and internal balancing, as the football clubs do not act as independent competitors from the demand side, neither in league products nor in club products. A minimum level of coordination would be necessary for both product forms. Nevertheless, the Federal Cartel Office fundamentally also assumes horizontal competition restrictions that, with regard to the previously conducted marketing models, particularly lie in the exclusivity of central marketing compared to the (coordinated) individual marketing of the football clubs and result in a significant restriction of club-related products.</w:t>
      </w:r>
    </w:p>
    <w:p>
      <w:r>
        <w:t>Furthermore, central marketing leads to competition restrictions in the downstream markets with regard to the emerging strong rights provider. Given the development of market conditions and the potential of the Internet as an additional transmission path, it is of great importance that the institutionalization of coordination at the DFL creates a rights provider that now has a quasi-monopoly in the relevant rights market, or at least gains significant market power. Because potential competition is not apparent. The barriers to market entry are still considered particularly high.</w:t>
      </w:r>
    </w:p>
    <w:p>
      <w:r>
        <w:t>This position allows for the restriction of access to the rights through the limitation of the rights supply as well as the foreclosure of downstream markets by restricting the market entry opportunities of rights acquirers through enabling an exclusive acquisition of live rights and exhausting the maximum willingness to pay of the acquirer. In principle, the DFL has an incentive to award the essential rights exclusively to the highest bidder. The potential foreclosure of the downstream market resulting from the exclusive acquisition of all transmission rights is evident in the existing market dominance in the downstream market, where the market conditions are fixed during the exploitation period – in the specific model four years. According to the assessment of the Federal Cartel Office, the tendency towards foreclosure of central marketing is specifically expressed in the restriction of innovation competition, which arises from the further development of the technical and commercial possibilities of the Internet (particularly OTT and IPTV offerings) from emerging Internet services. These offerings could challenge the existing market dominance, provided their providers are able to acquire rights to a relevant extent.</w:t>
      </w:r>
    </w:p>
    <w:p>
      <w:r>
        <w:t>The exclusive acquisition of all (live) rights by OTT providers would also lead to the foreclosure of downstream markets. The market position of the provider that would then arise would be as unassailable during the exploitation period as that of a traditional provider. Although an OTT provider, as a relatively new market entrant, would initially have significant incentives to establish its offering. Technical advancements as well as the development of formats and business models would also be expected. However, it is also to be expected that the offering, particularly of live broadcasts, in this case would be limited to the OTT transmission path and that competing infrastructures would be shut down, leading to a scarcity of supply.</w:t>
      </w:r>
    </w:p>
    <w:p>
      <w:r>
        <w:t>In this context, the Federal Cartel Office continues to consider a prohibition on exclusive acquisition of the live transmission rights of the Bundesliga to be necessary. A prohibition on exclusive acquisition means that no acquirer may exclusively acquire all transmission rights for the live matches of the Bundesliga. However, various tender models are possible as long as it is ensured that no exclusive acquisition of all live transmission rights takes place. Both the acquisition of individual exclusive live packages by two or more acquirers and the complete or partial co-exclusive acquisition of individual live packages by two or more acquirers would fulfill the prohibition on exclusive acquisition. The specific design of the prohibition on exclusive acquisition and the marketing model is the responsibility of the DFL.</w:t>
      </w:r>
    </w:p>
    <w:p>
      <w:r>
        <w:t>The principle of possible exemption from the competition restrictions caused by central marketing could not be assumed based on the preliminary assessment of the Federal Cartel Office on the basis of the originally planned marketing model. Although the originally planned marketing model included a prohibition on exclusive acquisition for the live transmission rights, from the perspective of the Federal Cartel Office, it was not effective enough, among other things, with regard to the package design and the auction model to grant the second acquirer a sufficient competitive position in competition with the first acquirer. The restrictions associated with this were not covered in their entirety by the exemption of central marketing, as they would neither be essential for the achievable efficiencies nor would they meet the requirements.</w:t>
      </w:r>
    </w:p>
    <w:p>
      <w:r>
        <w:rPr>
          <w:b/>
        </w:rPr>
        <w:t>[Pages 4–4]</w:t>
      </w:r>
    </w:p>
    <w:p>
      <w:r>
        <w:t>Consumers would also be expected to be adequately involved. A competition exclusion at the downstream level would also be anticipated.</w:t>
      </w:r>
    </w:p>
    <w:p>
      <w:r>
        <w:t>The commitments submitted by the DFL to eliminate the concerns and declared binding include, among other things, an extended exclusive acquisition ban for the live rights, which enables sufficient package competition and, from the perspective of the Federal Cartel Office, sufficiently limits the foreclosure tendency of central marketing and the resulting restriction of innovation competition. Through the extended exclusive acquisition ban, a substantial portion of the live rights to the Bundesliga matches is awarded to a second bidder. The live packages relevant to the exclusive acquisition ban appear, based on the conducted market surveys, to be substantial enough in each case to enable an alternative acquirer to develop a competitive Bundesliga offering, which is likely to have sufficient market effects. Each of these rights packages allows the acquirer, immediately after the final whistle, comprehensive highlight reporting on all matches of a matchday, in addition to the respective included live right.</w:t>
      </w:r>
    </w:p>
    <w:p>
      <w:r>
        <w:t>The DFL conducted the tender in accordance with its commitments and awarded the live rights to the Saturday matches and the Saturday conference of the Bundesliga, as well as all live rights of the 2. Bundesliga, to Sky. The live rights to the Friday matches and Sunday matches of the Bundesliga were awarded to DAZN.</w:t>
      </w:r>
    </w:p>
    <w:p>
      <w:r>
        <w:t>The commitment decision is legally binding.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