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https://www.bundeskartellamt.de/SharedDocs/Entscheidung/DE/Fallberichte/Fusionskontrolle/2022/B6-31-21.pdf;jsessionid=09A92E20E2963EBC3F569368E7697F6A.1_cid387?__blob=publicationFile&amp;v=2</w:t>
      </w:r>
    </w:p>
    <w:p>
      <w:r>
        <w:t>Pages translated : 4</w:t>
      </w:r>
    </w:p>
    <w:p/>
    <w:p>
      <w:r>
        <w:rPr>
          <w:b/>
        </w:rPr>
        <w:t>[Pages 1–3]</w:t>
      </w:r>
    </w:p>
    <w:p>
      <w:r>
        <w:t xml:space="preserve">Case Report March 7, 2022  </w:t>
        <w:br/>
        <w:t xml:space="preserve">Approval of the merger between RTL and SuperRTL  </w:t>
        <w:br/>
        <w:t xml:space="preserve">Industry: TV Advertising  </w:t>
        <w:br/>
        <w:t xml:space="preserve">File Number: B6-31/21  </w:t>
        <w:br/>
        <w:t>Date of Decision: June 11, 2021</w:t>
      </w:r>
    </w:p>
    <w:p>
      <w:r>
        <w:t>The Federal Cartel Office has approved the intended complete acquisition of the joint venture RTL Disney Fernsehen GmbH &amp; Co. KG (SuperRTL) by Bertelsmann SE &amp; Co. KGaA (RTL Group division) in the first phase of review. RTL already holds 50 percent of the shares in the children's channel SuperRTL and intends to acquire the remaining 50 percent from the previous co-shareholder Disney.</w:t>
      </w:r>
    </w:p>
    <w:p>
      <w:r>
        <w:t>Although the acquirer RTL, together with ProSiebenSat.1 (P7S1), has a strong position in the relevant nationwide TV advertising market and can lead SuperRTL in the future without having to consider the previous co-shareholder Disney, SuperRTL has also been co-controlled and marketed by RTL up to now, and SuperRTL's market position is limited. Furthermore, the market structure will become less symmetrical due to the registered merger, and Disney can act independently of RTL in the future with its own channels, including the Disney Channel, which is also aimed at children and families, just like SuperRTL.</w:t>
      </w:r>
    </w:p>
    <w:p>
      <w:r>
        <w:t>The RTL Group is (alongside P7S1) one of the two major private TV groups in Germany. Its focus is on entertainment offerings in linear television and online. These are predominantly advertising-funded. RTL generates advertising revenues in Germany from television advertising spaces and online advertising spaces on group-owned and individual third-party channels as well as on third-party websites.</w:t>
      </w:r>
    </w:p>
    <w:p>
      <w:r>
        <w:t>SuperRTL has so far been a joint venture of Disney and the RTL Group, which is subject to joint control. Its establishment was approved by the European Commission in 1995. SuperRTL also operates advertising-funded television channels, specifically the channel SuperRTL and the channel Toggo Plus. The programming of SuperRTL targets the children's audience during the day and families in the evening. In addition to broadcasting on linear TV, the respective content is also distributed online. The advertising spaces of SuperRTL have been co-marketed by the RTL Group since the founding of the joint venture.</w:t>
      </w:r>
    </w:p>
    <w:p>
      <w:r>
        <w:t>In addition to SuperRTL and Toggo Plus, there are currently three other free-to-air TV channels specifically targeting the children's audience: The non-commercial public broadcaster KiKa and the advertising-funded channels Disney Channel (operated and marketed by the current co-shareholder Disney) and Nickelodeon (operated by Viacom and marketed by Visoon).</w:t>
      </w:r>
    </w:p>
    <w:p>
      <w:r>
        <w:t>The investigations have revealed that the project is not expected to significantly impede effective competition.</w:t>
      </w:r>
    </w:p>
    <w:p>
      <w:r>
        <w:t>Of particular interest were the possible effects of the project on the nationwide TV advertising market, where the Federal Cartel Office has previously identified a non-competitive duopoly between RTL and P7S1 (see most recently Case B6-94/10 – "Amazonas", prohibition of the establishment of a joint video-on-demand platform by RTL and P7S1). In this decision, the Federal Cartel Office found that online video advertising, and in particular the sub-form of in-stream video advertising, exerts a certain competitive pressure in the form of substitution competition on the area of television advertising. However, at that time, this pressure was not so great that both forms of advertising could be attributed to the same market.</w:t>
      </w:r>
    </w:p>
    <w:p>
      <w:r>
        <w:t>In the context of the present proceedings, the Federal Cartel Office has re-examined this question with regard to the assessment of the market position of RTL (and P7S1). Nevertheless, the investigation results do not indicate that both forms of advertising belong to the same market. Ultimately, however, both the exact market definition in the present case could remain open and it could remain undecided whether RTL, together with P7S1, still holds a joint dominant position in the market. Because, in any case, no strengthening of a presumed non-competitive duopoly in the nationwide TV advertising market was recognizable due to the planned merger.</w:t>
      </w:r>
    </w:p>
    <w:p>
      <w:r>
        <w:t>The market investigations conducted have confirmed that while there is a certain degree of substitutability, particularly between television advertising and in-stream video advertising, there have been slight indications of somewhat greater competitive pressure compared to the "Amazonas" decision. Nevertheless, this form of online video advertising still has different characteristics, and both forms of advertising are still (not yet) interchangeable from the perspective of market participants.</w:t>
      </w:r>
    </w:p>
    <w:p>
      <w:r>
        <w:t>The respondents primarily explained this with the still existing reach of linear television, the possibility of quickly building reach through television advertising, and the broad penetration of target groups. Television advertising was described as a mass communication medium whose particular advantage is the "lean back" usage. According to the respondents, further differences between television advertising and in-stream advertising exist in the length and production of commercials as well as in the usage situation. Neither in-stream video advertising nor other moving image formats fulfill, in the opinion of the respondents, the "typical characteristics" of television advertising to a similarly high degree.</w:t>
      </w:r>
    </w:p>
    <w:p>
      <w:r>
        <w:t>The respondents did assume that TV usage, especially among younger target groups, will decline in the future, but TV consumption remains constant among older target groups, so overall, it could not yet be assumed that there is a high substitution potential during the forecast period.</w:t>
      </w:r>
    </w:p>
    <w:p>
      <w:r>
        <w:t>The Federal Cartel Office has also examined for the first time in the present proceedings the question of the substitutability of television advertising by social media video advertising. However, the results show that the latter – as is still the case with in-page video advertising – is even further removed from television advertising than in-stream video advertising.</w:t>
      </w:r>
    </w:p>
    <w:p>
      <w:r>
        <w:t>Regardless of the exact market definition and the question of whether RTL, together with P7S1, still holds a joint dominant position, the present merger did not indicate any strengthening of a presumed non-competitive duopoly in the nationwide TV advertising market. It would not lead to any structural changes that could be expected to be market-relevant in terms of the recent case law of the Federal Court of Justice due to some particularities of the target company and the market structure in the area it covers.</w:t>
      </w:r>
    </w:p>
    <w:p>
      <w:r>
        <w:t>Although RTL gains sole control over SuperRTL with the acquisition of the additional shares in SuperRTL and thus the possibility to fully integrate SuperRTL into its own business policy without "disturbing influences" from other shareholders, SuperRTL only has a very small market share in the national TV advertising market, which was already within RTL's sphere of influence due to the existing participation in SuperRTL before the merger. Therefore, the merger did not lead to any market share addition in the narrower sense.</w:t>
      </w:r>
    </w:p>
    <w:p>
      <w:r>
        <w:t>With regard to structural changes in a possible dominant duopoly of RTL and P7S1, the merger did not lead to an expected strengthening of symmetry due to the specific target group orientation of SuperRTL. P7S1 does not have a channel comparable to SuperRTL that specializes in the children's target group. Therefore, the merger rather strengthens</w:t>
      </w:r>
    </w:p>
    <w:p>
      <w:r>
        <w:rPr>
          <w:b/>
        </w:rPr>
        <w:t>[Pages 4–4]</w:t>
      </w:r>
    </w:p>
    <w:p>
      <w:r>
        <w:t>to a certain extent asymmetric elements. The previous co-shareholder Disney, on the other hand, operates the Disney Channel, which is also aimed at the children's target group and is an advertising-funded channel, whose advertising spaces, according to the results of the market investigations, represent the closest competitive product for advertising on SuperRTL. The exit of the competitor Disney from SuperRTL allows Disney to operate in the market in the future more independently and without regard to SuperRTL, so that the project can also have a certain competition-enhancing effect.</w:t>
      </w:r>
    </w:p>
    <w:p>
      <w:r>
        <w:t>Overall, therefore, a deterioration of the competitive conditions in the nationwide market for TV advertising due to the merger was not to be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