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https://www.bundeskartellamt.de/SharedDocs/Entscheidung/DE/Fallberichte/Kartellverbot/2017/B6-32-15_aktualisiert.pdf?__blob=publicationFile&amp;v=4</w:t>
      </w:r>
    </w:p>
    <w:p>
      <w:r>
        <w:t>Pages translated : 3</w:t>
      </w:r>
    </w:p>
    <w:p/>
    <w:p>
      <w:r>
        <w:rPr>
          <w:b/>
        </w:rPr>
        <w:t>[Pages 1–3]</w:t>
      </w:r>
    </w:p>
    <w:p>
      <w:r>
        <w:t xml:space="preserve">Case Report February 22, 2017  </w:t>
        <w:br/>
        <w:t xml:space="preserve">Title: Central Marketing of Media Rights for Football Bundesliga Matches  </w:t>
        <w:br/>
        <w:t xml:space="preserve">Industry: Sports Media Rights  </w:t>
        <w:br/>
        <w:t xml:space="preserve">File Number: B 6 – 32/15  </w:t>
        <w:br/>
        <w:t>Date of Decision: April 11, 2016</w:t>
      </w:r>
    </w:p>
    <w:p>
      <w:r>
        <w:t>The Federal Cartel Office has concluded the proceedings to review the central marketing of media rights for matches of the Football Bundesliga and the 2nd Bundesliga, as well as the marketing model based on central marketing for the seasons starting from 2017/2018, by accepting commitments in accordance with § 32 b GWB.</w:t>
      </w:r>
    </w:p>
    <w:p>
      <w:r>
        <w:t>The rights for audiovisual reporting on the football matches of the Bundesliga and the 2nd Bundesliga have traditionally been marketed centrally by the league association in Germany. The league association comprises all Bundesliga clubs from the Bundesliga and the 2nd Bundesliga. It holds the exclusive marketing rights to the audiovisual media rights in question, both statutorily and contractually. The individual Bundesliga clubs are only authorized to conduct subordinate and delayed audiovisual reporting on the Bundesliga matches of their teams. For the operational implementation of marketing, the league association utilizes its 100% subsidiary, the Deutsche Fußball Liga GmbH (DFL).</w:t>
      </w:r>
    </w:p>
    <w:p>
      <w:r>
        <w:t>According to the preliminary assessment by the Federal Cartel Office, the agreement on central marketing and the associated marketing model for the seasons starting from 2017/18 restrict competition in the affected markets and therefore fall under the cartel prohibition. One affected market is the market for national media rights for football competitions held throughout the year, in which clubs from the Bundesliga and the 2nd Bundesliga participate. On the other hand, there is the downstream market for pay-TV, which, given the very specific demand for live reporting on Bundesliga football, may further segment into a market for paid video offerings for the live broadcasting of premium sports events or for the live broadcasting of Bundesliga matches. The precise market delineation was left open by the Federal Cartel Office, as competitive concerns exist with all potential delineation variants.</w:t>
      </w:r>
    </w:p>
    <w:p>
      <w:r>
        <w:t>From the perspective of the Federal Cartel Office, the central marketing of Bundesliga rights by the DFL does not constitute an intended horizontal core restriction through an institutionalized joint distribution of rights with joint price setting and internal balancing. This is because even with individual marketing, a minimum level of coordination and aggregation would likely be necessary for the design of club and league products. However, from the Federal Cartel Office's perspective, the exclusivity of central marketing of league-related products compared to club-related products, as well as particularly the possibilities and incentives associated with the resulting market power for isolating the downstream pay-TV market, have been given greater weight than in the previous decision from 2012. Given the development of market conditions and the potential of the internet, the Federal Cartel Office now assesses it as significant that the institutionalization of coordination within the league association and the DFL creates a rights provider that, in the absence of potential competition in the relevant rights market, now possesses a quasi-monopoly, or at least gains significant market power. This position allows the league association to restrict access to the rights through the scarcity of the rights offering and to isolate the downstream markets by limiting the market entry opportunities for rights acquirers through enabling a sole acquisition of the live rights while maximizing the acquirer's willingness to pay. With the ongoing development of the technical and commercial possibilities of the internet, this tendency towards isolation in central marketing also leads to a restriction of innovation competition emanating from internet offerings. This is particularly true given that the rights are usually awarded for several years, specifically in this model for 4 years. The Federal Cartel Office sees no sufficient corrective in the German television landscape, which is still strongly characterized by freely receivable offerings.</w:t>
      </w:r>
    </w:p>
    <w:p>
      <w:r>
        <w:t>The potentially conceivable exemption from the competition restrictions caused by central marketing could, according to the preliminary assessment of the Federal Cartel Office, no longer be assumed for the case of the sole acquisition of all live rights possible under the originally planned marketing model, particularly due to the lack of necessity and the potential exclusion of competition in the upstream and downstream markets.</w:t>
      </w:r>
    </w:p>
    <w:p>
      <w:r>
        <w:t>The commitments submitted by the DFL to eliminate the concerns and declared binding include, among other things, the introduction of a sole acquisition prohibition for the first time. According to this, a sufficiently substantial part of the live rights to the matches of the Bundesliga must be awarded to a second bidder. Each of the rights packages covered by the sole acquisition prohibition allows the acquirer, in addition to the respective contained live right, to provide comprehensive highlight reporting on all matches of a matchday immediately after the final whistle, thereby creating a broadcast segment that reflects the overall league events.</w:t>
      </w:r>
    </w:p>
    <w:p>
      <w:r>
        <w:t>The commitments contain, according to the assessment of the Federal Cartel Office, particularly due to the included sole acquisition prohibition, provisions that sufficiently counteract the restrictions on innovation competition and substitution competition. The packages relevant for the sole acquisition prohibition appear, based on the market surveys conducted so far and the market test also carried out, to be substantial enough individually to enable an alternative acquirer to develop a competitive Bundesliga offering, which is likely to have sufficient market effects. The sole acquisition prohibition does not mean that the Bundesliga live offering is exclusively divided among various pay-TV providers, requiring the end customer to conclude multiple subscriptions. The various offerings for the end customer can be combined back into a single offering on a non-exclusive basis – for example, through distribution or sublicensing agreements. The sole acquisition prohibition merely prohibits a provider from broadcasting all matches exclusively and excludes its competitors from access to these rights for at least the duration of the license period.</w:t>
      </w:r>
    </w:p>
    <w:p>
      <w:r>
        <w:t>The DFL conducted the tender in accordance with its commitments and awarded all live rights for the matches of the Bundesliga and the 2nd Bundesliga to Sky. Excluded from this was – in accordance with the sole acquisition prohibition – a package that included the live rights to the matches of the Bundesliga on Friday evenings, which the DFL awarded to a second bidder, Discovery (Eurosport).</w:t>
      </w:r>
    </w:p>
    <w:p>
      <w:r>
        <w:t>The decision on the commitments is legally binding. The complaint filed by Sky Deutschland was dismissed by the Higher Regional Court of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