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https://www.bundeskartellamt.de/SharedDocs/Entscheidung/DE/Fallberichte/Fusionskontrolle/2021/B6-41-20.pdf;jsessionid=0541F67ADD8460B1097F4F41B1BA869F.2_cid362?__blob=publicationFile&amp;v=3</w:t>
      </w:r>
    </w:p>
    <w:p>
      <w:r>
        <w:t>Pages translated : 3</w:t>
      </w:r>
    </w:p>
    <w:p/>
    <w:p>
      <w:r>
        <w:rPr>
          <w:b/>
        </w:rPr>
        <w:t>[Pages 1–3]</w:t>
      </w:r>
    </w:p>
    <w:p>
      <w:r>
        <w:t xml:space="preserve">Case Report January 14, 2021  </w:t>
        <w:br/>
        <w:t xml:space="preserve">Approval of the Merger of Online Classified Ad Platforms  </w:t>
        <w:br/>
        <w:t xml:space="preserve">Industry: Online Classified Ad Platforms  </w:t>
        <w:br/>
        <w:t xml:space="preserve">File Number: B6-41/20  </w:t>
        <w:br/>
        <w:t>Date of Decision: November 23, 2020</w:t>
      </w:r>
    </w:p>
    <w:p>
      <w:r>
        <w:t>The Federal Cartel Office has approved the intended acquisition of the eBay Classifieds Group business segment by Adevinta ASA, Oslo, which belongs to the Schibsted Group, as well as the acquisition of shares in Adevinta by eBay Inc., San Jose (USA), and thus the establishment of a joint venture between eBay Inc. and Schibsted ASA, Oslo, in the preliminary examination procedure. The eBay Classifieds Group operates the online classified ad platform eBay Kleinanzeigen and the vehicle-specialized platform mobile.de in Germany. Adevinta is also active in this area with the online classified ad platform Shpock as well as with specialized platforms for specialty vehicles and vacation rentals.</w:t>
      </w:r>
    </w:p>
    <w:p>
      <w:r>
        <w:t>The project did not expect to significantly impede effective competition even with a narrow market definition. The Federal Cartel Office considered it appropriate to distinguish between horizontal online classified ad platforms, which have many different ad categories, and the various vertical online classified ad platforms, which particularly cover the areas of real estate, vehicles, and job advertisements. The Federal Cartel Office has already considered a corresponding segmentation of vertical platforms in various decisions. Both in previous decisions and in this case, however, the Federal Cartel Office left the specific market definition open.</w:t>
      </w:r>
    </w:p>
    <w:p>
      <w:r>
        <w:t>In the market for horizontal (general) online classified ad platforms considered in this procedure, the merger leads to the consolidation of the platforms eBay Kleinanzeigen and Shpock under the umbrella of Adevinta. Although eBay Kleinanzeigen is by far the largest horizontal online classified ad platform in Germany, the project did not expect a significant impediment to effective competition, as Shpock has only a very weak market position in Germany.</w:t>
      </w:r>
    </w:p>
    <w:p>
      <w:r>
        <w:t>Online classified ad platforms aim to connect their two user groups (sellers and buyers). Since ultimately both sides are offered the comparable service of mediation, the Federal Cartel Office (similar to other matching platforms) considers it a single product.</w:t>
      </w:r>
    </w:p>
    <w:p>
      <w:r>
        <w:t>Typically, the use of the platform is free for buyers and initially possible without registration (until the desired contact with a seller is made). Sellers can post their ads easily and cost-effectively (possibly even for free) and thus expand the reach of their offers.</w:t>
      </w:r>
    </w:p>
    <w:p>
      <w:r>
        <w:t>Another characteristic of online classified ad platforms is a certain non-binding nature of the ads. This can affect both the availability of the product on the seller's side and the non-binding nature of the stated price. Sellers generally have the option to list their products on multiple platforms simultaneously, and the stated price usually offers room for negotiation. Since the actual transaction, which the platform mediates, typically takes place outside the platform, the success of the mediation is usually not directly measurable.</w:t>
      </w:r>
    </w:p>
    <w:p>
      <w:r>
        <w:t>The market surveys conducted have shown that there are different business models in the area of (horizontal) online classified ad platforms. The various platforms are financed, among other things, through advertising, freemium, and additional services. A purely revenue-based consideration of market shares would overlook, among other things, the competitive potential of platforms that increasingly finance themselves through advertising or complementary services. According to the decision-making practice of the Federal Cartel Office, user shares and the ability for sustainable monetization can therefore also play a role. In this case, the Federal Cartel Office also considered the number of ads in the form of new listings per month. Overall, the consideration of these key figures suggests a strong market position for eBay Kleinanzeigen.</w:t>
      </w:r>
    </w:p>
    <w:p>
      <w:r>
        <w:t>Due to the peculiarities of platform markets, the Federal Cartel Office has also considered additional factors, both market power-establishing and counteracting, alongside these market share-related key figures. In addition to indirect network effects, whose self-reinforcing effects must be considered ambivalently in the assessment of the market power of a particular company, there were indications of low market entry barriers. The market survey revealed, among other things, that a phased rollout can achieve the necessary user base for market entry by initially offering a few ad categories and then expanding the platform to include adjacent categories.</w:t>
      </w:r>
    </w:p>
    <w:p>
      <w:r>
        <w:t>Furthermore, the Federal Cartel Office found that specialized vertical online classified ad platforms for cars, real estate, and job offers also exert competitive pressure on horizontal online classified ad platforms.</w:t>
      </w:r>
    </w:p>
    <w:p>
      <w:r>
        <w:t>Ultimately, it could remain open in this case whether eBay Kleinanzeigen holds a dominant position considering the peculiarities of online classified ad platform markets, as there was in any case no indication of an enhancement of the market position of eBay Kleinanzeigen through the planned merger.</w:t>
      </w:r>
    </w:p>
    <w:p>
      <w:r>
        <w:t>Considering the mentioned key figures, Shpock has only very low and tendentially decreasing market shares in Germany and an extremely weak market position. Therefore, the increase in market share here has proven to be so marginal that a deterioration of the competitive conditions in the market for horizontal online classified ad platforms due to the merger was not expected.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