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https://www.bundeskartellamt.de/SharedDocs/Entscheidung/DE/Fallberichte/Fusionskontrolle/2011/B6-75-10.pdf?__blob=publicationFile&amp;v=5</w:t>
      </w:r>
    </w:p>
    <w:p>
      <w:r>
        <w:t>Pages translated : 2</w:t>
      </w:r>
    </w:p>
    <w:p/>
    <w:p>
      <w:r>
        <w:rPr>
          <w:b/>
        </w:rPr>
        <w:t>[Pages 1–2]</w:t>
      </w:r>
    </w:p>
    <w:p>
      <w:r>
        <w:t xml:space="preserve">1  </w:t>
        <w:br/>
        <w:t xml:space="preserve">Case Report April 12, 2011  </w:t>
        <w:br/>
        <w:t xml:space="preserve">Acquisition of See Tickets Germany/Ticket Online Group by CTS Eventim not subject to control  </w:t>
        <w:br/>
        <w:t xml:space="preserve">Sector: Ticketing  </w:t>
        <w:br/>
        <w:t xml:space="preserve">File Number: B 6 – 75/10  </w:t>
        <w:br/>
        <w:t xml:space="preserve">Date of Decision: March 24, 2011  </w:t>
        <w:br/>
        <w:t xml:space="preserve">The Federal Cartel Office retrospectively examined the already completed acquisition of See Tickets Germany GmbH/Ticket Online Group ("See Tickets") by CTS Eventim AG ("CTS") within the framework of a demerger procedure. The investigations revealed that the attributable worldwide turnover of the two corporate groups no longer reaches the turnover threshold of the German merger control regulations of €500 million worldwide, and therefore the project is not subject to control.  </w:t>
        <w:br/>
        <w:t>The focus of the Federal Cartel Office's investigations was on the question of the notification obligation of the project and on clarifying the corporate relationships of CTS. In this context, the companies controlled by the main shareholder and CEO of CTS, Mr. Klaus-Peter Schulenberg, were also taken into account. Prior to the acquisition of the target company, CTS had sold a business share in the company FKP Scorpio Konzertproduktionen GmbH. As a result, CTS's participation in this company was reduced to such an extent that the revenues of the company could no longer be attributed to it. However, from the perspective of the Federal Cartel Office, the turnover thresholds were only undershot after - during the demerger procedure - another company had been sold.</w:t>
      </w:r>
    </w:p>
    <w:p>
      <w:r>
        <w:t xml:space="preserve">2  </w:t>
        <w:br/>
        <w:t>In light of the eliminated control obligation, the substantive examination could ultimately remain open despite significant horizontal overlaps between the two corporate groups. CTS operates in the areas of ticketing and concert events. See Tickets is also active in ticketing and was previously 40% owned by the musical producer Stage Entertainment BV and 60% by the private equity group Parcom. In addition to the acquisition of See Tickets, CTS has entered into an exclusive ticket agreement with Stage Entertainment Germany for 12 years. According to the information available to the Federal Cartel Office, it is expected that CTS will achieve high market shares in the market for electronic ticketing systems through the merger, which may allow for a dominant market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