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http://www.bundeskartellamt.de/SharedDocs/Entscheidung/DE/Fallberichte/Fusionskontrolle/2011/B6-86-10.pdf;jsessionid=60CCC3F5B11D7E08093CFD4A8441445A.1_cid362?__blob=publicationFile&amp;v=4</w:t>
      </w:r>
    </w:p>
    <w:p>
      <w:r>
        <w:t>Pages translated : 1</w:t>
      </w:r>
    </w:p>
    <w:p/>
    <w:p>
      <w:r>
        <w:rPr>
          <w:b/>
        </w:rPr>
        <w:t>[Pages 1–1]</w:t>
      </w:r>
    </w:p>
    <w:p>
      <w:r>
        <w:t xml:space="preserve">Case Report April 1, 2011  </w:t>
        <w:br/>
        <w:t xml:space="preserve">Acquisition of BerlinOnline not subject to control  </w:t>
        <w:br/>
        <w:t xml:space="preserve">Sector: Internet Advertising/Internet City Portals  </w:t>
        <w:br/>
        <w:t xml:space="preserve">File Number: B6 - 86/10  </w:t>
        <w:br/>
        <w:t xml:space="preserve">Date of Decision: March 17, 2011  </w:t>
        <w:br/>
        <w:t xml:space="preserve">The Federal Cartel Office has deemed the intention of BV Deutsche Zeitungsholding GmbH, Berlin, to acquire the remaining business shares in BerlinOnline Stadtportal GmbH &amp; Co. KG, Berlin ("BerlinOnline"), as not subject to control. The merger is not subject to the provisions of merger control because BerlinOnline's revenues do not exceed the second domestic turnover threshold of €5 million in 2009 according to § 35 para. 1 no. 2 GWB. The press calculation clause pursuant to § 38 para. 3 GWB is not applicable to advertising revenues generated through internet portals.  </w:t>
        <w:br/>
        <w:t xml:space="preserve">Berlin Online operates and markets the official German capital portal www.berlin.de as well as the city portals www.berlinonline.de and www.potsdamonline.de. Through these city portals, Berlin Online provides information on politics, economy, sports, science, culture, and tourism related to the cities of Berlin and Potsdam on the internet. Users have access to online classified portals (real estate, vehicles, job offers) and a classifieds portal through the city portals.  </w:t>
        <w:br/>
        <w:t>The merger concerns the regional Berlin market for internet advertising via city portals. The press calculation clause is not applicable to the revenues generated in this market. An application of the press calculation clause to internet portals of newspaper publishers derived from the protective purpose of "media diversity" is not covered by the wording of § 38 para. 3 GWB. According to this regulation, for the publishing, production, and distribution of newspapers, magazines, and their components, the production, distribution, and broadcasting of radio programs, and the sale of radio advertising time, twenty times the revenue is to be taken into account. However, internet advertising is not to be considered as part of the physical publishing products covered by the norm.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