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http://www.bundeskartellamt.de/SharedDocs/Entscheidung/DE/Fallberichte/Fusionskontrolle/2013/B6-9-13.pdf;jsessionid=10D48A9CBF7D3BF48453A6B04D6D8FCF.2_cid387?__blob=publicationFile&amp;v=6</w:t>
      </w:r>
    </w:p>
    <w:p>
      <w:r>
        <w:t>Pages translated : 4</w:t>
      </w:r>
    </w:p>
    <w:p/>
    <w:p>
      <w:r>
        <w:rPr>
          <w:b/>
        </w:rPr>
        <w:t>[Pages 1–3]</w:t>
      </w:r>
    </w:p>
    <w:p>
      <w:r>
        <w:t>1</w:t>
        <w:br/>
        <w:t>Case Report April 8, 2013</w:t>
        <w:br/>
        <w:t>Approval of the acquisition of the publishing business of the "Frankfurter Rundschau" by Frankfurter Allgemeine Zeitung GmbH et al.</w:t>
        <w:br/>
        <w:t>Industry: Newspaper Markets</w:t>
        <w:br/>
        <w:t>File Number: B6 - 9/13</w:t>
        <w:br/>
        <w:t>Date of Approval: February 27, 2013</w:t>
        <w:br/>
        <w:t>The Federal Cartel Office has approved the project of Frankfurter Allgemeine Zeitung GmbH and Frankfurter Societät GmbH (hereinafter jointly referred to as "Acquirer") to acquire the publishing business of the "Frankfurter Rundschau" ("FR") from Druck- und Verlagshaus Frankfurt am Main GmbH ("Seller"). The merger project met the requirements of a restructuring merger, so that the prohibition conditions of § 36 GWB were ultimately not present.</w:t>
      </w:r>
    </w:p>
    <w:p>
      <w:r>
        <w:t>The Acquirer is part of the FAZIT Foundation, whose subsidiaries, among other activities in the media sector, publish the subscription daily newspaper "Frankfurter Allgemeine Zeitung" as well as the weekly newspaper "Frankfurter Allgemeine Sonntagszeitung." In the Frankfurt area, it also publishes the "Frankfurter Neue Presse" as a regional subscription daily newspaper and an advertising paper.</w:t>
      </w:r>
    </w:p>
    <w:p>
      <w:r>
        <w:t>The FR is a subscription daily newspaper published nationwide with a pronounced distribution focus in the Frankfurt area. The Seller filed for insolvency in November 2012. The subject of the project was solely the publishing business of the FR, including editorial staff and title rights. The Seller also has a printing house, but this was not part of the merger project.</w:t>
      </w:r>
    </w:p>
    <w:p>
      <w:r>
        <w:t>The merger project was only registered after a request from the Federal Cartel Office at the end of January 2013; the creditors' committee had previously agreed to continue the business operations until the end of February. After this deadline, the cessation of the FR would have been expected. Also at the end of January 2013, Turkish media entrepreneur Burak Akbay expressed interest in acquiring all assets of the Seller.</w:t>
      </w:r>
    </w:p>
    <w:p>
      <w:r>
        <w:t>2</w:t>
        <w:br/>
        <w:t>The offer included, in addition to the publishing business of the FR, particularly the acquisition of the Seller's printing house, including the operational property.</w:t>
      </w:r>
    </w:p>
    <w:p>
      <w:r>
        <w:t>The merger primarily affects the national and regional reader and advertising markets in which the FR operates. Since the project did not raise any competitive concerns in the nationwide reader market and the corresponding nationwide advertising market, the Federal Cartel Office focused its examination on the regional markets in the Frankfurt Rhein-Main area. In the reader market within the city of Frankfurt, the FR is the only competitor to the acquirer's newspapers. There are also high market shares in the various regional advertising markets; however, additional competitors included particularly the Bild-Zeitung with its regional advertising units for the Frankfurt-Rhein Main area, as well as some advertising papers. However, it was questionable whether these advertising units could be considered interchangeable with those of the merger participants due to their differing characteristics. A common market can only be assumed according to case law if the advertising units are "essentially identical." The Federal Cartel Office could leave this question open in the end, as the conditions for a restructuring merger were present.</w:t>
      </w:r>
    </w:p>
    <w:p>
      <w:r>
        <w:t>For the existence of a restructuring merger, three conditions must be demonstrated by the companies involved in the merger: The target company must be in need of restructuring, there must be no less competition-damaging alternative to the merger (in particular, no alternative acquirer), and the market shares of the target company would essentially fall to the acquirer in the event of its exit from the market. Since the need for restructuring of the FR was not in question after the insolvency application, particularly the last two conditions had to be verified.</w:t>
      </w:r>
    </w:p>
    <w:p>
      <w:r>
        <w:t>Although there was an alternative purchase offer that was competitively unproblematic, as the interested party had not yet been active in the affected markets, the Federal Cartel Office had no doubts about the fundamental seriousness of the offer. However, due to the circumstances of the individual case, it was not expected that the interested party could ultimately and timely acquire the target company. Therefore, in the alternative consideration, it could not be assumed that the FR would have remained in the market as a competitive newspaper to the acquirer's titles without the merger. This forecast was based particularly on two circumstances of the present individual case:</w:t>
      </w:r>
    </w:p>
    <w:p>
      <w:r>
        <w:t>3</w:t>
        <w:br/>
        <w:t>- On the one hand, it could not be assumed that a sufficient agreement with the interested party, which would have enabled an uninterrupted continuation, could be reached before March 1, 2013. The expected cessation of operations on March 1, 2013, would have meant the termination of the title with the end of subscription and advertising contracts. Since the circulation figures of the FR had already significantly declined in recent years, it could not be assumed that there was sufficient prospect of successfully reintroducing the title to the market, considering the peculiarities of newspaper markets, after a temporary suspension. Therefore, the Federal Cartel Office could not – as in other restructuring cases – wait to see if an agreement would be reached. The mere existence of a serious alternative acquirer as such could not be invoked against the restructuring merger in this specifically situated case.</w:t>
      </w:r>
    </w:p>
    <w:p>
      <w:r>
        <w:t>- On the other hand, the offer of the alternative acquirer included both the target company and other assets of the Seller, particularly its printing house along with the property. In such a case, the acquirer cannot be legally regarded as an "alternative" if the dismantling of the company and the sale of individual assets, particularly the operational property, would better satisfy the objectively and lawfully pursued interests (secured satisfaction of creditors from the insolvency estate) than the sale to the alternative acquirer. In light of the evidence presented and the demonstrated acquisition interest in individual assets, this had to be assumed here. Therefore, in the forecast, without the merger project, the dismantling of the Seller and thus the exit of the FR from the markets was to be expected.</w:t>
      </w:r>
    </w:p>
    <w:p>
      <w:r>
        <w:t>The investigations ultimately revealed that the respective market share of the FR in the affected regional markets would have essentially fallen to the acquirer even without the merger. Regarding the reader markets, there are no other competitors in the core distribution area of the FR besides the acquirer's titles. However, regarding the advertising markets, other companies could be considered that might benefit from the exit of the FR – particularly the advertising units of the Bild-Zeitung. This applies at least to the economically significant regional advertising units of the FR.</w:t>
      </w:r>
    </w:p>
    <w:p>
      <w:r>
        <w:t>Regardless of whether the alternative advertising units are part of the advertising markets or not, however, a relevant shift of the previous market position of the FR to the Bild-Zeitung or to alternative advertising papers was not to be expected. The alternative</w:t>
      </w:r>
    </w:p>
    <w:p>
      <w:r>
        <w:rPr>
          <w:b/>
        </w:rPr>
        <w:t>[Pages 4–4]</w:t>
      </w:r>
    </w:p>
    <w:p>
      <w:r>
        <w:t>4</w:t>
        <w:br/>
        <w:t>The alternative advertising units were, according to the survey of advertising customers, not close competitors of FR, which is evident, among other things, from FR's simultaneous position as a nationwide subscription daily newspaper on the one hand and as a high-quality regional subscription daily newspaper on the other hand. The closest competitor of FR in the regional advertising markets is, rather, the FAZ and the FNP with their advertising units. In relation to FR's specific advertising budget, it was therefore not expected, based on the investigations, that the regional advertising units of the Bild-Zeitung or other advertising sheets would be able to attract a significant portion of FR's advertising budget upon its exit from the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