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http://www.bundeskartellamt.de/SharedDocs/Entscheidung/DE/Fallberichte/Fusionskontrolle/2014/B6-98-13.pdf?__blob=publicationFile&amp;v=2</w:t>
      </w:r>
    </w:p>
    <w:p>
      <w:r>
        <w:t>Pages translated : 5</w:t>
      </w:r>
    </w:p>
    <w:p/>
    <w:p>
      <w:r>
        <w:rPr>
          <w:b/>
        </w:rPr>
        <w:t>[Pages 1–3]</w:t>
      </w:r>
    </w:p>
    <w:p>
      <w:r>
        <w:t>1</w:t>
        <w:br/>
        <w:t>Case Report October 30, 2014</w:t>
        <w:br/>
        <w:t>Funke Mediengruppe acquires program magazines from Axel Springer</w:t>
        <w:br/>
        <w:t>Industry: Program Magazines</w:t>
        <w:br/>
        <w:t>File Number: B6 – 98/13</w:t>
        <w:br/>
        <w:t>Date of Decision: April 25, 2014</w:t>
        <w:br/>
        <w:t>The Federal Cartel Office has approved the project of Funke Medien Gruppe GmbH &amp; Co. KGaA (hereinafter FMG) to acquire the program magazines Hörzu, TV Digital, Funk Uhr, Bildwoche, and TV Neu from Axel Springer SE (hereinafter Springer) under conditions and requirements. With the resale of several program magazines to Mediengruppe Klambt GmbH &amp; Co. KG, Speyer (hereinafter Klambt), significant hindrances to effective competition from the project were no longer to be expected1.</w:t>
        <w:br/>
        <w:t>FMG is primarily active in Germany as a publisher of regional daily newspapers in North Rhine-Westphalia (e.g., Westfälische Allgemeine Zeitung (WAZ), Westfalenpost (WP)), Thuringia, and Lower Saxony. In addition, the company publishes consumer magazines. These include not only women's magazines but also program magazines (e.g., Gong, Bild + Funk, TVdirekt). Furthermore, FMG is involved in radio and television stations, particularly in North Rhine-Westphalia, as well as in online media (e.g., immowelt.de, stellenanzeigen.de) or operates them itself (especially derwesten.de).</w:t>
        <w:br/>
        <w:t>Axel Springer SE, Berlin, publishes, in addition to the acquisition objects, the newspapers of the BILD and WELT groups as well as the magazines Auto-Bild, Sport-Bild, and Computer-Bild. The company also operates numerous online media, e.g., immonet.de, stepstone.de, or idealo.de, and is active in advertising marketing, among other areas. The company has recently expanded its numerous holdings in radio and television stations by acquiring the news channel N24.</w:t>
        <w:br/>
        <w:t>The merger concerned the national reader and advertising market for program magazines. The Federal Cartel Office conducted extensive investigations for market delineation to determine particularly the interchangeability with digital media. As a result, digital media could not be included in either market.</w:t>
        <w:br/>
        <w:t>1 § 36 Abs. 1 GWB</w:t>
      </w:r>
    </w:p>
    <w:p>
      <w:r>
        <w:t>2</w:t>
        <w:br/>
        <w:t>Program magazines initially constitute their own specific reader market, which exclusively includes program magazines that are to be acquired for a fee. Program magazines display the television program for a specific period, organized by broadcasters. In addition, they contain editorial contributions such as film summaries, comments, background knowledge, and program recommendations (so-called highlight reporting), as well as a so-called general section with service and entertainment topics. Other consumer magazines are not to be included according to the concept of supply substitution flexibility, as even established publishers, who have editorial teams and content for the general section, cannot easily switch due to the required program editorial work and database. Also, so-called supplements, which are provided as free inserts in daily newspapers or magazines (e.g., rtv or Prisma) containing program information, or the mailings with program information Shopping aktuell from Deutsche Post AG are not to be included in the market. They only represent the television program of the upcoming week and operate with a fundamentally different distribution concept.</w:t>
        <w:br/>
        <w:t>Finally, digital media are not to be included in the reader market. In this regard, the so-called electronic program guides (EPG) integrated into TV reception devices, internet applications, and apps that provide program information are considered. According to the investigations, these are used complementarily by consumers and serve to provide quick, up-to-date information about the television program. They do not replace program magazines to a sufficient extent according to the investigations. Furthermore, the internet applications are predominantly operated by the same publishers, so their inclusion would not have changed the outcome.</w:t>
        <w:br/>
        <w:t>In the relevant advertising market, only program magazines are to be included. The decision-making department also conducted extensive investigations for this market. This also involved the interchangeability of online and television advertising. Program magazines are characterized by their large reach and broad target groups. Many advertisers have therefore indicated only a low willingness to switch to other magazines or media types.</w:t>
        <w:br/>
        <w:t>In both markets, the merger would have led to a strengthening of the existing dominant oligopoly without conditions. The reader market for program magazines is jointly dominated by the publishers Bauer (market share 40 – 45 %), Springer (market share 30 – 35 %), FMG (market share 10 – 15 %), and Burda (market share 5 – 10 %). The advertising market has a similar structure.</w:t>
      </w:r>
    </w:p>
    <w:p>
      <w:r>
        <w:t>3</w:t>
        <w:br/>
        <w:t>The overall assessment of all relevant circumstances and the analysis of the actual market events show that there is no significant competition between the companies (lack of internal competition). Due to the absence of current competitors and lack of potential competition, they jointly possess a dominant market position (lack of external competition). Given the market structures of the reader and advertising market, a consistently uniform behavior of the members of the oligopoly is to be expected. There is a close interdependence in reactions among the oligopolists.</w:t>
        <w:br/>
        <w:t>In the reader and advertising market, numerous factors exist that allow the oligopolists and provide them with incentives to (tacitly) coordinate their competitive behavior and refrain from competitive initiatives. Due to the high market transparency and effective deterrent and sanctioning measures of the involved companies against competitive initiatives, there is no incentive to deviate from uniform behavior. A competition-oriented measure aimed at increasing one's own market share would remain unsuccessful, as it would trigger similar measures from the other company. Also, due to the similar positioning of the publishers in program magazines regarding costs, production structures, and marketing organizations, competitive initiatives in the reader and advertising market can quickly be sanctioned by the others.</w:t>
        <w:br/>
        <w:t>Moreover, the willingness of readers to switch is low, and there have been hardly any sustainable market entries from outsiders.</w:t>
        <w:br/>
        <w:t>The actual market events also provide no indications that a functioning price competition is taking place among the oligopolists in the reader and advertising market for program magazines or that there is significant competition in the reader market regarding the content of the program magazines. The market shares of the individual publishers have remained stable over several years in both markets. The Federal Cartel Office has also examined the price development in both markets over several years. It showed a parallel increase in both the reader and advertising markets with declining market volumes.</w:t>
        <w:br/>
        <w:t>The barriers to market entry in the program magazine sector are relatively high due to the requirement of maintaining a program database over a longer period, so that there is no sufficient potential competition. The substitution competition from supplements and internet applications is also not adequate, especially since the internet applications are predominantly offered by the same publishers and thus cannot exert competitive pressure, but rather intensify the competitive situation by occupying adjacent platforms.</w:t>
      </w:r>
    </w:p>
    <w:p>
      <w:r>
        <w:rPr>
          <w:b/>
        </w:rPr>
        <w:t>[Pages 4–5]</w:t>
      </w:r>
    </w:p>
    <w:p>
      <w:r>
        <w:t xml:space="preserve">4  </w:t>
        <w:br/>
        <w:t xml:space="preserve">An unconditional merger would strengthen the existing market dominance. On one hand, the number of providers of program magazines would decrease from four to three, and on the other hand, Bauer and FMG, which together would have more than 90% market share, would further align in their structure and in the segments of program magazines they serve.  </w:t>
        <w:br/>
        <w:t xml:space="preserve">The merger could only be approved because the effects of the merger were eliminated by the suspensive condition of the resale of the program magazines BILD Woche, Funk Uhr, TV Neu, die zwei, Super TV, TV 4 Wochen, TV 4x7, and TV piccolino plus, consisting of TV piccolino, TV Genie, and my TV, to Klambt.  </w:t>
        <w:br/>
        <w:t xml:space="preserve">To eliminate the specific effects of the merger, the acquirer must, according to the requirements of the Federal Cartel Office, obtain a sufficient, competitively viable market position in both markets with the titles to be sold and must be able to fulfill the editorial requirements of the program magazines continuously and without interruption, as well as ensure the marketability of advertisements. The economic viability, market and competitive capability of the acquirer, and the continued existence of the competitive potential acquired with the title portfolio must be sufficiently secured. In particular, the conditions of the sale must not enable any actions by the sellers that could negatively impact the value, management, or competitiveness of the acquirer or could impair the nature and scope of the business activities, the entrepreneurial strategy, or the investment policy of the acquirer. These requirements are met by Klambt, at least after changes to the original financing concept.  </w:t>
        <w:br/>
        <w:t>Before acquiring these magazines, Klambt had not published any program magazines. Rather, the publisher – in contrast to the other publishers of program magazines – had previously been active exclusively in the area of women's magazines (particularly yellow press). Through its publishing activities, it brings the necessary expertise for publishing magazines. The resold program magazines also primarily target women as readers, so they fit well into the existing publishing program. The content overlaps allow Klambt to transfer editorial content into the acquired magazines. By establishing its own program editorial team and program database, Klambt will be able, after a transitional supply of program content, to independently and autonomously produce the program section as an essential element of the program magazines.</w:t>
      </w:r>
    </w:p>
    <w:p>
      <w:r>
        <w:t xml:space="preserve">5  </w:t>
        <w:br/>
        <w:t xml:space="preserve">The acquired program magazines have a market share of around 8 to 10% in the reader market and 5 to 10% in the advertising market. In both markets, Klambt thus achieves (in conjunction with its existing publishing program) a sufficiently sustainable market position to operate permanently in the market for program magazines. For the elimination of the significant hindrance to effective competition, the resale of the aforementioned titles was sufficient, although this does not completely dissolve the market shares gained at FMG. Because the resale establishes a sufficiently sustainable market position for Klambt. As a medium-sized publisher, it is structured differently than the other providers of program magazines and will have the opportunity to launch its own new program magazines at low costs and to undertake competitive initiatives. In addition, it has sufficient threat potential to not be driven out of the market by the other market participants despite its relatively low market shares.  </w:t>
        <w:br/>
        <w:t xml:space="preserve">The originally existing doubts about Klambt's suitability, which arose from the initially presented financing concept, have been dispelled by the increase in the equity ratio and the fundamental restructuring of the financing. According to its continuation concept and the now planned financial commitment, Klambt assumes a sufficient economic and entrepreneurial risk that forms the basis for a permanent and independent competitive activity. After the restructuring of the financing, there are no longer any doubts about the independence of the acquirer. The originally planned so-called Vendor Loan was, on the other hand, not suitable to eliminate a competition problem in the market where the acquirer is to enter as a competitor of the seller.  </w:t>
        <w:br/>
        <w:t xml:space="preserve">The acquisition of the program magazines is closely related to the acquisition of women's magazines as well as regional daily newspapers and advertising papers and the joint ventures planned by the parties for advertising marketing and press distribution. The parties initially registered these individual projects as an economically inseparable overall project. The parties withdrew this registration in order to register the individual projects separately in four steps. The acquisition of the program magazines constituted the second package.  </w:t>
        <w:br/>
        <w:t>2 cf. Case Report of July 22, 2014, regarding B6-97/13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