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http://www.bundeskartellamt.de/SharedDocs/Entscheidung/DE/Fallberichte/Missbrauchsaufsicht/2009/B7-11-09.pdf;jsessionid=874F2C488365CBFC1C1870C0276F3768.2_cid378?__blob=publicationFile&amp;v=4</w:t>
      </w:r>
    </w:p>
    <w:p>
      <w:r>
        <w:t>Pages translated : 3</w:t>
      </w:r>
    </w:p>
    <w:p/>
    <w:p>
      <w:r>
        <w:rPr>
          <w:b/>
        </w:rPr>
        <w:t>[Pages 1–3]</w:t>
      </w:r>
    </w:p>
    <w:p>
      <w:r>
        <w:t xml:space="preserve">Case Report 10.09.2009  </w:t>
        <w:br/>
        <w:t xml:space="preserve">Examination of a possible price-cost squeeze in telecommunications services for program providers  </w:t>
        <w:br/>
        <w:t xml:space="preserve">by  </w:t>
        <w:br/>
        <w:t xml:space="preserve">Deutsche Telekom AG  </w:t>
        <w:br/>
        <w:t xml:space="preserve">Industry Telecommunications  </w:t>
        <w:br/>
        <w:t xml:space="preserve">File Number B7 – 11/09  </w:t>
        <w:br/>
        <w:t xml:space="preserve">Date of Decision 06.08.2009  </w:t>
        <w:br/>
        <w:t xml:space="preserve">Case Presentation:  </w:t>
        <w:br/>
        <w:t xml:space="preserve">In 2009, the Federal Cartel Office initiated proceedings against Deutsche Telekom AG, Bonn (DTAG) to review the pricing of DTAG towards 9Live Fernsehen GmbH, Unterföhring (9Live) regarding telecommunications services for so-called MABEZ services. The 7th Decision Division of the Federal Cartel Office decided on August 6, 2009, that it sees no reason to take action (§ 32c GWB).  </w:t>
        <w:br/>
        <w:t xml:space="preserve">“MABEZ” stands for “mass traffic services to specific destinations.” Mass traffic services are characterized by a high volume of traffic in one or more short time intervals with a short occupancy duration to a destination with limited query capacity. Numbers for mass traffic services are provided from the numbering range (0)137 and are often used in competitions, polls, and surveys. MABEZ services are predominantly used where the active participation of large groups of readers or viewers in specific activities of media companies such as publishers, radio, and television broadcasters is at the forefront.  </w:t>
        <w:br/>
        <w:t xml:space="preserve">For the provision of MABEZ services, due to the partly massive calls, the establishment of a technical platform is initially required, which can receive and process these calls. It allows the acceptance of incoming calls, technical forms of voice interaction with the callers, and statistical evaluations of the calls.  </w:t>
        <w:br/>
        <w:t xml:space="preserve">In addition, telecommunications infrastructure services are required for the routing of calls from the subscriber connection to the technical platform. To the extent that competitors of DTAG want to implement MABEZ services for program providers, they must regularly purchase the feeder service within the framework of an interconnection agreement from DTAG. The feed from other subscriber networks is also realized by DTAG, which functions as a transit network in this respect. The charges for these services by DTAG are subject to regulation by the Federal Network Agency. Furthermore, the connections of the end-user to the 0137 numbers must be billed and settled with the telephone bill. This is also predominantly carried out by DTAG for competitors, which assumes the risk of default (del credere) for this purpose. The connection services, including billing, invoicing, and del credere, form the upstream market for the provision of MABEZ services to program providers. A competitor of DTAG must purchase these services from it in order to offer MABEZ services to program providers on the downstream market using its own technical platform.  </w:t>
        <w:br/>
        <w:t xml:space="preserve">In 2008, 9Live had tendered MABEZ services for the competitions and other call-TV broadcasts provided by 9Live via the numbering range (0)137 and awarded the contract to DTAG. NextID, a value-added service provider and competitor of DTAG, subsequently filed a complaint with the Federal Cartel Office due to a violation by DTAG of Art. 82 EC and §§ 19, 20 GWB through the use of a price-cost squeeze and substantiated this with detailed cost representations. The 7th Decision Division then initiated proceedings to examine possible violations of §§ 19, 20 GWB and Art. 82 EC, but ultimately saw no reason to take action due to the lack of likelihood of a violation. The Federal Cartel Office based its determination of a price-cost squeeze on the following examination concept:  </w:t>
        <w:br/>
        <w:t xml:space="preserve">The examination initially revealed that DTAG is a norm addressee under Art. 82 EC, §§ 19, 20 GWB, as it is dominant at least in the national market for the establishment of connections in the public telephone network to value-added services via interconnection connections, including the assumption of billing, invoicing, and del credere. However, at the time of the award, there was no market dominance of DTAG in the downstream market for MABEZ services towards program providers. For the abusive nature of a price-cost squeeze under Art. 82 EC, §§ 19, 20 GWB, market dominance in the upstream market is required but also sufficient.  </w:t>
        <w:br/>
        <w:t xml:space="preserve">Art. 82 EC and §§ 19, 20 GWB generally cover the case of price-cost squeeze as an obstruction criterion. A price-cost squeeze exists when the difference between the end customer prices (or the prices for the service in the downstream market) of the norm addressee and the input price for comparable services to its competitors is negative or insufficient to cover the product-specific costs of the dominant company for providing the services in the downstream market. However, in the case of simple market dominance (in the upstream market), not every price-cost squeeze can regularly be considered abusive. Rather, in such a case, the specific market conditions and the specific effect of the price-cost squeeze must be taken into account. A negative difference between the input price and the charge for the downstream service is, however, regularly abusive even in the case of simple market dominance.  </w:t>
        <w:br/>
        <w:t xml:space="preserve">In the present constellation, the difference between the prices in the downstream market and the input prices was positive. It was therefore necessary to examine whether this difference was sufficient to cover the product-specific costs. The relevant factor for cost coverage is the product-specific costs of the dominant company. As a cost benchmark for the product-specific costs, at least in the case of a vertically integrated company in the telecommunications sector, the concept of long-term average incremental costs must be applied.  </w:t>
        <w:br/>
        <w:t>The Decision Division simulated all conceivable situations (call volumes) under a realistically expected range of assumptions to address the uncertainty regarding the traffic volume to be achieved and examined the individual scenarios. Based on the examination criteria presented above, very different scenarios emerged, in which sufficient cost coverage was possible in many cases. Taking into account safety discounts and the fact that the specific case involved a bundle product with additional services alongside the MABEZ services, it was highly likely based on the investigations conducted that no price-cost squeezes would arise during the agreed contract period.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