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https://www.bundeskartellamt.de/SharedDocs/Entscheidung/DE/Fallberichte/Kartellverbot/2013/B7-11-13.pdf;jsessionid=3AFD886AA4626FBBE8B7BFE33B48A7C5.1_cid387?__blob=publicationFile&amp;v=4</w:t>
      </w:r>
    </w:p>
    <w:p>
      <w:r>
        <w:t>Pages translated : 6</w:t>
      </w:r>
    </w:p>
    <w:p/>
    <w:p>
      <w:r>
        <w:rPr>
          <w:b/>
        </w:rPr>
        <w:t>[Pages 1–3]</w:t>
      </w:r>
    </w:p>
    <w:p>
      <w:r>
        <w:t>Case Report December 23, 2013</w:t>
        <w:br/>
        <w:t>Discount System of Bosch Siemens Hausgeräte GmbH, Munich,</w:t>
        <w:br/>
        <w:t>Industry: Household Appliances</w:t>
        <w:br/>
        <w:t>File Number: B7-11/13</w:t>
        <w:br/>
        <w:t>Date of Decision: December 23, 2013</w:t>
        <w:br/>
        <w:t>The Federal Cartel Office is not currently pursuing the cartel administrative proceedings initiated in February 2013 against Bosch Siemens Hausgeräte GmbH, Munich (hereinafter: BSH) regarding the system of performance discounts introduced by BSH at the beginning of 2013. The discount system was implemented by BSH in the annual agreements with specialized retailers who sell BSH devices both through a stationary retail store and through a webshop (so-called hybrid retailers). The performance discounts were based on the manufacturer's selling price and were lower the more sales a hybrid retailer achieved through its webshop. The Federal Cartel Office assessed the discount system as a competition-restricting dual pricing system, as it created incentives for current and potential hybrid retailers to limit their online sales or not to introduce online sales at all. This reduces competition in online trade and the resulting price pressure on stationary specialized retailers. BSH has since modified the discount system and will offer all retailers equal performance discounts for sales through the internet and through stationary retail stores starting in 2014. BSH operates worldwide in the manufacture and distribution of electrical household appliances. In the 2012 financial year, BSH achieved total sales of approximately €10 billion. Of this, approximately €6 billion was attributable to the EU, and approximately €2 billion to Germany. BSH's business focus is on large household appliances. Sales are primarily conducted through a two-tier system via electrical specialty trade and kitchen trade. The discount system in question was established by BSH exclusively in Germany.</w:t>
      </w:r>
    </w:p>
    <w:p>
      <w:r>
        <w:t>1. Discount System (2013)</w:t>
        <w:br/>
        <w:t>The system of performance discounts differentiating between stationary and online resale was intended, according to BSH, to "honor the higher-value commercial services of stationary distribution." It specifically provided for certain presentation and consultation discounts, which varied in amount depending on the distribution channel. The calculation of performance discounts was carried out in two steps:</w:t>
        <w:br/>
        <w:t>- Quota determination procedure: First, it was determined to what extent the hybrid retailer sells BSH devices through its stationary retail outlet and to what extent through its webshop (e.g., 80% stationary and 20% online). This classification of hybrid retailers was independently estimated by BSH, i.e., without the involvement of the affected retailers.</w:t>
        <w:br/>
        <w:t>- Discount rates: In a second step, the individual discount rate of each hybrid retailer was calculated by applying its online/offline quota to predetermined discount rates. The established discount rates for sales services in the stationary sector were more than 5 times higher than in the online sector. This leads to a significantly lower discount for a hybrid retailer with a relatively high online quota compared to a retailer operating purely in the stationary sector.</w:t>
      </w:r>
    </w:p>
    <w:p>
      <w:r>
        <w:t>1.1. Competition Restriction</w:t>
        <w:br/>
        <w:t>The discount system agreed upon in the annual agreements between BSH and the hybrid retailers aimed at a restriction of competition within the meaning of Article 101(1) TFEU, § 1 GWB.</w:t>
        <w:br/>
        <w:t>- According to the Federal Cartel Office, the discounts aimed at restricting the economic freedom of action of hybrid retailers by BSH. By offering lower discounts for online sales, BSH created incentives for hybrid retailers to sell BSH devices more through stationary channels than online. Lower discounts as a result of online sales are reflected in increased selling prices to end customers. This directly reduces the potential sales volume through the internet and additionally prompts the retailer to actively redirect its sales towards the stationary business in order to receive higher discounts at a later time. The fact that the discounts at the expense of online sales might compensate for potentially higher costs of stationary trade does not negate the existence of a competition restriction but is eligible for consideration within the framework of the exemption assessment. The restriction was further reinforced by the quota determination procedure. BSH reserved the right to adjust the online/offline sales quota of the dealer during the year. As a result, hybrid dealers were at risk of a discount reduction by BSH throughout the year. A hybrid dealer could only mitigate this uncertainty by maintaining sales at the previous year's level or by fully concentrating on stationary sales.</w:t>
        <w:br/>
        <w:t>- The restriction on the freedom of action of hybrid dealers distorted competition in the sale of BSH devices. The Federal Cartel Office assumes that dealers are in intense competition with each other in the sale of BSH devices, particularly in online sales, as their offers are available nationwide through the internet and are comparable. Furthermore, nationwide online trade exerts competitive pressure on regional stationary trade. Therefore, higher prices and a reduction in quantity in online trade dampen the price pressure that online trade exerts on stationary trade. Additionally, the incentives for retailers that previously operated purely in the stationary sector to also become active in online sales were diminished. The decision to also operate online would have entailed not only higher costs (e.g., for setting up and maintaining a webshop, shipping/returns, and possibly additional staff) but also a comparatively disadvantageous discount structure. In this respect, potential competition was also reduced.</w:t>
      </w:r>
    </w:p>
    <w:p>
      <w:r>
        <w:t>1.2. No Exemption</w:t>
        <w:br/>
        <w:t>Reasons for a group or individual exemption under Article 101(3) TFEU, § 2 GWB were not apparent. An exemption under the block exemption regulation for vertical restrictions fails because it involves a restriction of the territory or customer group to which a buyer involved in the agreement may sell the contract goods, thus constituting a core restriction within the meaning of Article 4(b) of this regulation.1 With the help of a correspondingly spread dual pricing system, a supplier could, in extreme cases, even be able to effectively exclude sales over the internet. For this reason alone, the examination of the exemption in individual cases appears warranted. The Commission's Vertical Guidelines also explicitly classify dual pricing systems as</w:t>
      </w:r>
    </w:p>
    <w:p>
      <w:r>
        <w:t>1 Regulation No. 330/2010 of the Commission on the application of Article 101(3) TFEU to groups of vertical agreements and coordinated practices, Official Journal L 102/1 of April 23, 2010.</w:t>
      </w:r>
    </w:p>
    <w:p>
      <w:r>
        <w:rPr>
          <w:b/>
        </w:rPr>
        <w:t>[Pages 4–6]</w:t>
      </w:r>
    </w:p>
    <w:p>
      <w:r>
        <w:t>Core restrictions (see para. 52).2 BSH has also not substantiated the conditions for an individual exemption according to the Federal Cartel Office. In this regard, there were doubts about the existence of efficiency advantages and the necessity of the identified competition restriction. Qualitative efficiency advantages would have required that the restriction of price competition associated with the rebate system to the detriment of online trade would lead to an improvement in quality competition. This is not apparent; thus, this dual pricing system does not generate efficiency advantages. Any higher costs in stationary distribution could, from the perspective of the Federal Cartel Office, also be covered by fixed subsidies paid directly by BSH to retailers with stationary distribution (see below). This also applies to consulting expenses in the retail store, whereby the preparation for the purchase of a large household appliance, according to the findings of the Federal Cartel Office, presents itself very differently for today's customers, and no general "free rider problem" to the detriment of stationary trade is observable. Even if the spread rebate system led to efficiency advantages, it would not be essential in the sense of Art. 101 para. 3 AEUV, § 2 GWB: It was not convincingly demonstrated why fixed subsidies as an alternative, competitively neutral instrument would not be available to financially support stationary trade services on the part of BSH.3 With fixed subsidies for certain display areas or employee numbers in the stationary sector, unlike variable, sales-dependent discounts, there is no risk of hindering the dealer in online sales through corresponding incentive setting. They instead directly target the incurred stationary expenses of the dealer without affecting their internet sales. In this regard, the investigations of the Federal Cartel Office also did not reveal consistently higher overall costs in stationary distribution compared to online distribution. Fixed subsidies would also need to be examined in individual cases for their competitive effects.</w:t>
      </w:r>
    </w:p>
    <w:p>
      <w:r>
        <w:t xml:space="preserve">2 Guidelines of the European Commission for vertical restrictions, Official Journal C 130/1 of 19 May 2010.  </w:t>
        <w:br/>
        <w:t>3 See also para. 52 d) of the Guidelines of the European Commission for vertical restrictions, Official Journal C 130/1 of 19 May 2010.</w:t>
      </w:r>
    </w:p>
    <w:p>
      <w:r>
        <w:t xml:space="preserve">2. Discount System (2014)  </w:t>
        <w:br/>
        <w:t xml:space="preserve">In a letter dated November 29, 2013, BSH informed the Federal Cartel Office that BSH would waive a discount spread in the annual agreements starting in 2014. The affected dealers were informed by BSH in a letter dated December 17, 2013. As a result, equal discounts will be achievable for both stationary and online sales in the future. To achieve the discounts, a dealer must provide various presentation and consultation services. The performance criteria used for granting discounts for online sales (e.g., quality of online presentation, employee qualification) correspond in content with the criteria for stationary sales (quality of display, employee qualification). In addition to the discount rates, BSH has also modified the quota determination procedure. Now, the dealer also has the option to request a recalculation of their quota and to prove this through a neutral third party (tax advisor, auditor). Since the exact sales distribution is a trade secret of the dealer, a specification of the quota in ranges is possible. In 2014, BSH will temporarily grant all dealers the full discounts and will not conduct a quota determination procedure. The Federal Cartel Office does not assess the discount system (2014) as a competition-restricting agreement based on preliminary assessment. The achievable discounts are equal for online and stationary sales. Although it may be the case that a dealer does not receive the full discount under this discount system either online or stationary because they do not provide all discount-relevant services, the resulting discount difference would be a consequence of the dealer's own decision. According to a market test by the Federal Cartel Office, the discount-relevant services in the online area are predominantly assessed by the dealers as easily implementable. Moreover, the discount-relevant services involve qualitative requirements for internet sales that a manufacturer may agree upon with its dealers. BSH intends to have the online/offline sales quota determined for hybrid dealers in the annual agreement starting in 2015. However, the quota determination will only become relevant, as stated, in the – presumably rather rare – cases where a dealer realizes different discount rates online and offline. Furthermore, the respective quota can be corrected during the year at the initiative of the manufacturer or the dealer without disclosing sensitive business figures. The Federal Cartel Office therefore considers the residual risk of a competition-restricting effect associated with the quota determination to be limited but will monitor the market in this regard. The administrative procedure will initially not be pursued further and would only be resumed in the event of substantial complaints regarding the new discount system.  </w:t>
        <w:br/>
        <w:t>See also the case reports on dual pricing systems GARDENA (see case report of December 5, 2013) and Dornbracht (see case report of December 13, 2011) as well as the discussion paper of October 10, 2013, for the meeting of the Cartel Law Working Group on the topic "Vertical Restrictions in the Internet Economy" (www.bundeskartellamt.de).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