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https://www.bundeskartellamt.de/SharedDocs/Entscheidung/DE/Fallberichte/Kartellverbot/2012/B7-115-11.pdf?__blob=publicationFile&amp;v=4</w:t>
      </w:r>
    </w:p>
    <w:p>
      <w:r>
        <w:t>Pages translated : 2</w:t>
      </w:r>
    </w:p>
    <w:p/>
    <w:p>
      <w:r>
        <w:rPr>
          <w:b/>
        </w:rPr>
        <w:t>[Pages 1–2]</w:t>
      </w:r>
    </w:p>
    <w:p>
      <w:r>
        <w:t xml:space="preserve">1  </w:t>
        <w:br/>
        <w:t xml:space="preserve">Case Report December 3, 2012  </w:t>
        <w:br/>
        <w:t xml:space="preserve">Fines Against eBay Sellers for Price Fixing on Satfinders  </w:t>
        <w:br/>
        <w:t xml:space="preserve">Industry: Satfinder  </w:t>
        <w:br/>
        <w:t xml:space="preserve">File Number: B 7 – 115/11  </w:t>
        <w:br/>
        <w:t>Date of Decision: August 28, 2012</w:t>
      </w:r>
    </w:p>
    <w:p>
      <w:r>
        <w:t>In August 2012, the Federal Cartel Office imposed fines in the four-digit range against two online retailers for colluding on prices for the sale of so-called Satfinders on eBay.</w:t>
      </w:r>
    </w:p>
    <w:p>
      <w:r>
        <w:t>The companies involved sell, among other things, Satfinders of the "Satlink" brand online, including on eBay. Satfinders are portable electronic devices used for the precise alignment of satellite dishes to communication satellites in geostationary orbit. With Satfinders, reception dishes can thus be precisely aligned to receive signals.</w:t>
      </w:r>
    </w:p>
    <w:p>
      <w:r>
        <w:t>The two retailers had, in October and November 2011, begun to standardize the prices they demanded from consumers on eBay for certain types of Satfinders. Specifically, one retailer contacted other retailers via eBay's Member2Member messaging system and suggested raising the prices for Satfinders. At the same time, he threatened to lower prices if the other retailers did not agree to the price increase. One of the contacted retailers informed the Federal Cartel Office.</w:t>
      </w:r>
    </w:p>
    <w:p>
      <w:r>
        <w:t>Substantively, the market for online trading in Satfinders is affected. This includes sales through online shops or sales platforms such as eBay as well as sales through electronics retailers.</w:t>
      </w:r>
    </w:p>
    <w:p>
      <w:r>
        <w:t>The geographical delimitation must be made nationwide due to the umbrella effect of the nationally available online trade. If necessary, the German-speaking EU countries should also be included. Shopping with foreign retailers does not represent an alternative source for the majority of buyers due to the language barrier.</w:t>
      </w:r>
    </w:p>
    <w:p>
      <w:r>
        <w:t xml:space="preserve">2  </w:t>
        <w:br/>
        <w:t>The behavior of the involved retailers constitutes an administrative offense according to § 81 Abs. 2 in conjunction with § 1 GWB, §§ 14 Abs. 1 and 19 Abs. 1, 20 OWiG (prohibited price fixing according to § 1 GWB). Price fixing that prevents, restricts, or distorts competition is to be prohibited and sanctioned. The behavior of the retailer who threatened to lower prices in the event of non-compliance with his proposal for price fixing also constitutes an administrative offense according to § 81 Abs. 3 in conjunction with § 21 Abs. 2 GWB, §§ 14 Abs. 1 and 19 Abs. 1, 20 OWiG (prohibited threat of disadvantage according to § 21 Abs. 2 GWB).</w:t>
      </w:r>
    </w:p>
    <w:p>
      <w:r>
        <w:t>The proceedings were concluded by way of a consensual termination of the proceedings (so-called settlement). The fine notices are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