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https://www.bundeskartellamt.de/SharedDocs/Entscheidung/DE/Fallberichte/Kartellverbot/2020/B7-161-20.pdf;jsessionid=218A4557C244140152AF475C12DBDFA3.2_cid387?__blob=publicationFile&amp;v=4</w:t>
      </w:r>
    </w:p>
    <w:p>
      <w:r>
        <w:t>Pages translated : 9</w:t>
      </w:r>
    </w:p>
    <w:p/>
    <w:p>
      <w:r>
        <w:rPr>
          <w:b/>
        </w:rPr>
        <w:t>[Pages 1–3]</w:t>
      </w:r>
    </w:p>
    <w:p>
      <w:r>
        <w:t>Case Report October 29, 2020</w:t>
        <w:br/>
        <w:t>Establishment of a Joint Venture by Süddeutsche Zeitung and</w:t>
        <w:br/>
        <w:t>Frankfurter Allgemeine Zeitung</w:t>
        <w:br/>
        <w:t>Industry: Marketing of Advertising in Daily Newspapers</w:t>
        <w:br/>
        <w:t>File Number: B7-140/20 (Merger Control)</w:t>
        <w:br/>
        <w:t>B7-161/20 (Antitrust Review)</w:t>
        <w:br/>
        <w:t>Date: July 28, 2020 (B7-140/20),</w:t>
        <w:br/>
        <w:t>Decisions:</w:t>
        <w:br/>
        <w:t>October 27, 2020 (B7-161/20)</w:t>
        <w:br/>
        <w:t>The Federal Cartel Office has approved the establishment of a parity joint venture, which is to be entrusted with the marketing of the nationwide advertising inventory1 of Süddeutsche Zeitung GmbH, Munich, and Frankfurter Allgemeine Zeitung GmbH, Frankfurt am Main, after modification of the project in the first phase of merger control. The subsequent review under the aspect of the general cartel prohibition (Art. 101 TFEU2, § 1 GWB3) revealed that a possible exemption as publishing economic collaboration within the meaning of § 30 para. 2b GWB is subordinate to the primarily applicable European legal provisions of Art. 101 TFEU. However, the exemption conditions according to para. 3 are fulfilled.</w:t>
      </w:r>
    </w:p>
    <w:p>
      <w:r>
        <w:t>I. The Project</w:t>
        <w:br/>
        <w:t>The joint venture (hereinafter "JV") is to take over the marketing activities (acquisition, order processing, and invoicing including the associated IT systems) of the shareholders in the area of nationally published print advertisements. This includes not only the Frankfurter Allgemeine Zeitung ("FAZ") and the Süddeutsche Zeitung ("SZ") but also the Frankfurter Allgemeine Sonntagszeitung ("FAS") as well as the periodically included titles Frankfurter Allgemeine Magazin, Frankfurter Allgemeine Quarterly, Süddeutsche Zeitung Magazin, Wohlfühlen, Golf spielen, Süddeutsche Zeitung Jahreschronik, and Süddeutsche Zeitung Magazin Best Of. The regional or local print or digital inventory as well as the nationwide obituary ads are not subject to the joint marketing.</w:t>
      </w:r>
    </w:p>
    <w:p>
      <w:r>
        <w:t>1 Total area for advertising.</w:t>
        <w:br/>
        <w:t>2 Treaty on the Functioning of the European Union</w:t>
        <w:br/>
        <w:t>3 Act Against Restraints of Competition</w:t>
      </w:r>
    </w:p>
    <w:p>
      <w:r>
        <w:t>FAZ GmbH is active in the fields of publishing, issuing, distributing, and printing newspapers, particularly the FAZ and the FAS, magazines, books, and other printed materials of all kinds, as well as the development and operation of electronic communication media of all kinds and journalistic services of any kind. The FAZ is published in the Rhine-Main region with a regional edition, the Rhein-Main-Zeitung.</w:t>
      </w:r>
    </w:p>
    <w:p>
      <w:r>
        <w:t>SZ GmbH is the publisher and editor of the SZ and is part of the SWMH group, whose parent company is Südwestdeutsche Medien Holding GmbH ("SWMH"). SWMH is a pure holding company, whose subsidiaries are involved, among other things, in the production and distribution of daily newspapers and advertising papers, the distribution of press and other publishing products, the operation of printing houses, radio companies, and online services, the provision of IT services for newspaper, magazine, book publishing, and radio companies, the rental of real estate, as well as all other businesses in the field of journalism, publishing, printing, and book trading. Among the daily newspapers published by companies of the SWMH group are, among others, Stuttgarter Zeitung, Stuttgarter Nachrichten, and Schwarzwälder Bote.</w:t>
      </w:r>
    </w:p>
    <w:p>
      <w:r>
        <w:t>II. Affected Advertising Market</w:t>
        <w:br/>
        <w:t>The merger has effects on a nationwide advertising market. In the area of print advertising, the Federal Cartel Office had long delineated a nationwide advertising market for subscription daily newspapers, street sales newspapers, and advertising papers. However, investigations in a 2015 proceeding (B6-22/15-Funke/Springer4) revealed that there is a distinct demand among advertising customers for national advertising campaigns in current newspapers that have a high reach and reach a relatively broad target audience. This can only be covered by campaigns in tabloid daily and Sunday newspapers as well as by a combination of regional subscription daily newspapers, but not by nationwide daily newspapers such as SZ, FAZ, Welt, or Handelsblatt. These do not have the necessary national coverage due to their significantly lower reach. Furthermore, they reach a much narrower target audience than street sales newspapers or combinations of regional daily newspapers.</w:t>
      </w:r>
    </w:p>
    <w:p>
      <w:r>
        <w:t>In the Funke/Springer decision, it was left open to which market the unconsidered nationwide daily newspapers should be assigned. This market was the subject of the present case. The Federal Cartel Office held discussions with media agencies and conducted extensive analyses of numerous newspapers and magazines with regard to the target audience to be reached on the one hand and the advertisements contained on the other hand. Additionally, prices as well as the specific strengths and weaknesses of advertising in the various media were taken into account.</w:t>
      </w:r>
    </w:p>
    <w:p>
      <w:r>
        <w:t>As a result, it became evident that a nationwide market for advertising in news print objects is to be delineated here. This market addresses a target audience of higher education, higher income, and higher professional status predominantly in their private environment when consuming information from politics, economics, and society.</w:t>
      </w:r>
    </w:p>
    <w:p>
      <w:r>
        <w:t>In this market, in addition to nationwide daily newspapers, weekly and Sunday newspapers (Die Zeit, FAS) as well as magazines targeting the aforementioned audience are to be included. According to the investigations, these titles include Focus, Wirtschaftswoche, Stern, Spiegel, Manager Magazin, Capital, brand eins, and Cicero.</w:t>
      </w:r>
    </w:p>
    <w:p>
      <w:r>
        <w:t>So far, magazines and newspapers have regularly been assigned to different advertising markets. The decisive factor for this was essentially that newspapers generally address a broader target audience than magazines and are also current on a daily basis. However, in this case, the target audience reachable with SZ and FAZ is specific and overlaps with that of the aforementioned magazine titles. Furthermore, time-sensitive sales advertisements do not play a role in the nationwide advertising inventory of the merging parties affected by the merger.</w:t>
      </w:r>
    </w:p>
    <w:p>
      <w:r>
        <w:t>It remained open in the examination of the merger whether classified ads are still to be considered as part of the affected advertising market or whether, in the meantime, independent markets can be delineated along the types of classified ads (jobs, real estate, personal ads, travel, automobiles, etc.) that include both print classified ads and relevant online platforms.</w:t>
      </w:r>
    </w:p>
    <w:p>
      <w:r>
        <w:t>So far, the Federal Cartel Office has included classified ads in the advertising markets as a whole because all newspaper and advertising paper publishers offer advertisers space for advertisements as a commercial service, which also includes all classified ads (flexibility of supply adjustment).</w:t>
      </w:r>
    </w:p>
    <w:p>
      <w:r>
        <w:t>On the other hand, the formation of separate classified markets speaks in favor of the fact that the competitive conditions here differ significantly from those of other advertisements ("attention advertisements"). The revenues of newspapers from classified ads have massively decreased, while the significance of corresponding online portals has increased significantly. Additionally, daily newspaper publishers utilize the possibility of price differentiation between classified ads and other advertisements. Even within the classified ads, the price level varies significantly. If there are different customer groups and the providers have different pricing strategies for the individual...</w:t>
      </w:r>
    </w:p>
    <w:p>
      <w:r>
        <w:rPr>
          <w:b/>
        </w:rPr>
        <w:t>[Pages 4–6]</w:t>
      </w:r>
    </w:p>
    <w:p>
      <w:r>
        <w:t>detriment of competition.</w:t>
      </w:r>
    </w:p>
    <w:p>
      <w:r>
        <w:t>Customer groups being capable of different market strategies, particularly product, price, and discount differentiation, fundamentally suggests the existence of different markets. However, it must also be considered that the substitution relationships between print classified ads and the corresponding online platforms are one-sided. From the perspective of print customers, online platforms appear to be substitutes for print classified ads, but the reverse is true to a much lesser extent. This, in turn, argues against defining a common market and for considering the competitive pressure of online platforms within the framework of substantive assessment (substitution competition). Since the merger ultimately neither raises competitive concerns in one case nor the other, the question of market definition with regard to the classified ads could be left open, and further investigations could be waived.</w:t>
      </w:r>
    </w:p>
    <w:p>
      <w:r>
        <w:t>III. Market Position of the Parties and Merger Control Assessment</w:t>
        <w:br/>
        <w:t>When considering the ads in isolation without classified ads, the parties achieve a market share of 20-30 percent and would be the third strongest provider after the merger. Including the classified ads, the market share would slightly increase in the overall advertising market but would remain within the aforementioned range. The leading company is the publishing group Gruner + Jahr with a market share of 20-30 percent, followed by Holtzbrinck with 20-30 percent and Springer with 10-20 percent. These competitors are established publishers who are also members of marketing cooperations such as Ad Alliance (Spiegel, Stern, Manager Magazin, Capital), IQ Media (Handelsblatt, Die Zeit, Wirtschaftswoche), or Media Impact (Welt, Welt am Sonntag). In this respect, the cooperation does not provide the merging parties with opportunities that their main competitors do not have. The remaining providers collectively achieve market shares of 0-10 percent.</w:t>
      </w:r>
    </w:p>
    <w:p>
      <w:r>
        <w:t>When limiting classified markets to newspapers, the merging parties have significant market importance in the area of nationwide job and real estate ads. However, classified ads in newspapers offer neither advertisers nor recipients a significant added value compared to ads on the relevant online platforms. This is partly due to the far greater reach of online portals, whose use is mostly free for seekers, unlike newspapers. According to its own statements, the portals of scout24 AG had 13.5 million unique visitors monthly, who can be reached with an ad that typically remains published for a longer period. In contrast, the combined reach of the SZ and the FAZ is approximately 2.1 million readers per issue. If these are to be addressed over a longer period, a new ad must be placed daily. Additionally, only a subset of readers uses the newspaper to search for classified ads, while this applies to the total number of users on online platforms.</w:t>
      </w:r>
    </w:p>
    <w:p>
      <w:r>
        <w:t>On the other hand, sellers on online platforms have far more options to present their products and provide potential buyers with all relevant purchasing information. Images can be uploaded, videos can be included, supplementary documents such as floor plans of apartments can be attached, or links to employer reviews on relevant portals can be provided. Finally, there is the simple option of contacting "with one click." Thus, online classified ads are likely to represent a full substitute for print classified ads from the perspective of demanders. This is evidenced by the drastically fallen revenues of the merging parties from classified ads over the past decade. They now achieve revenues that are insignificant compared to the relevant online platforms. The substitution competition posed by online platforms in the area of classified ads is therefore so significant that it is not expected that the merger will open up anti-competitive behavioral leeways for the parties.</w:t>
      </w:r>
    </w:p>
    <w:p>
      <w:r>
        <w:t>In the case of obituary ads, however, the substitution competition from online platforms is low. At the instigation of the Federal Cartel Office, the original merger project was modified by excluding nationwide obituary ads from the joint marketing. The project then did not expect any significant hindrance to substantial competition, regardless of the inclusion of classified ads in the relevant market, and could therefore be cleared in the context of the merger control examination in the first phase.</w:t>
      </w:r>
    </w:p>
    <w:p>
      <w:r>
        <w:t>IV. Examination under Art. 101 TFEU and § 1 GWB</w:t>
        <w:br/>
        <w:t>The establishment and operation of a joint venture may, however, be impermissible under the general cartel prohibition regardless of any merger control clearance. The joint venture essentially has a coordinating function. It enables the bundled sale of the advertising inventory of the shareholders and the coordination of the terms. Thus, the agreement between FAZ and SZ to establish the joint venture may aim to restrict competition or have that effect and therefore needed to be examined not only under merger control law but also under § 1 GWB and Art. 101 TFEU.</w:t>
      </w:r>
    </w:p>
    <w:p>
      <w:r>
        <w:t>1. Applicability of the German and European Cartel Prohibition</w:t>
        <w:br/>
        <w:t>The distribution agreement is likely exempt from the application of the German cartel prohibition under § 1 GWB due to the statutory exemption aimed at promoting the economic basis of publishers (§ 30 para. 2b GWB). This is because it involves a publishing economic collaboration outside the editorial sector, enabling the parties involved to strengthen their economic basis for intermedia competition. However, in this case, the European cartel prohibition (Art. 101 TFEU) is concurrently applicable, which does not provide for a corresponding exemption and takes precedence over the national provision of § 30 para. 2b GWB. The conditions for the application of Art. 101 TFEU are met because the agreement is likely to affect inter-state trade and the trade impairment would also be significant.</w:t>
      </w:r>
    </w:p>
    <w:p>
      <w:r>
        <w:t>The characteristic of inter-state trade is not to be understood literally but encompasses all cross-border (i.e., concerning at least two EU member states) economic activities from the exchange of goods and services to establishment. The fact that an agreement only covers the marketing of products in a single member state is therefore not sufficient to exclude the possibility of affecting trade between member states. Advertising that a publisher based in one member state disseminates for an advertiser based in another member state for remuneration is to be regarded as a cross-border service and thus affects trade between member states. The same applies when publishers from outside the EU exert current or potential competitive pressure in Germany in the same market as the cooperation partners.</w:t>
      </w:r>
    </w:p>
    <w:p>
      <w:r>
        <w:t>With regard to the characteristic of trade impairment, it is significant that the cooperation between SZ GmbH and FAZ GmbH is likely to lead to their advertising inventory – also from customers from outside the EU – being demanded more or possibly less strongly than before. Because the visibility or relevance of the cooperating parties increases through the agreement, it could lead to an increase in bookings of their advertising inventory. On the other hand, the cooperation could lead to changes in the terms for the jointly marketed advertising inventory. This would also lead to a change in the booking volume for the cooperating parties under otherwise equal circumstances. Abstractly speaking, the agreement is suitable for diverting trade flows from the direction they would otherwise have taken. This is already sufficient to establish the suitability to...</w:t>
      </w:r>
    </w:p>
    <w:p>
      <w:r>
        <w:rPr>
          <w:b/>
        </w:rPr>
        <w:t>[Pages 7–9]</w:t>
      </w:r>
    </w:p>
    <w:p>
      <w:r>
        <w:t>under otherwise equal circumstances also lead to a change in the booking volume for the cooperation participants. Abstractly speaking, the agreement is suitable for diverting trade flows from the direction they would otherwise have taken. This is already sufficient to affirm the impairment of interstate trade.5 In addition, with an increase or decrease in advertising bookings, indirect effects on other markets are conceivable, where the sales of the advertised products in Germany – such as perfumes or cars – could rise or fall depending on the intensity of advertising. Finally, the cooperation can influence the market opportunities of current or potential competitors of the participants from EU foreign countries, as their visibility or conditions may change in comparison to the cooperation participants. The perceptibility of a possible trade impairment has been denied by the European courts in a number of cases when the joint market share of the participants in the affected market remains below 5% and the joint annual turnover is below €40 million, which has been incorporated into the interstate trade guidelines as the so-called "NAAT" (no appreciable affection of trade) test.6 In this case, the thresholds mentioned in the NAAT test are significantly exceeded. When the thresholds are exceeded, the nature of the agreement is crucial. An agreement for the joint marketing of advertisements is already suitable for a noticeable impairment due to its direct effects on the sales conditions in a nationwide advertising market in Germany. In the present case, the participants also sell advertising space to customers in EU foreign countries to a relevant extent.</w:t>
      </w:r>
    </w:p>
    <w:p>
      <w:r>
        <w:t>2. Restriction of Competition</w:t>
        <w:br/>
        <w:t>Substantively, the prerequisites for the merger control (significant impediment of effective competition) and the antitrust examination (restriction of competition) differ. In cases where, as in the present case, an examination is required under both the merger control provisions and those of the cartel prohibition, there is no substantive priority of the merger control provisions over the provisions of the cartel prohibition. A restriction of competition in the sense of Art. 101 para. 1 TFEU is regularly to be affirmed in distribution agreements between competitors. This is because, in these cases, an obstruction, restriction, or distortion of competition within the internal market is intended or caused "in particular by the direct or indirect fixing of purchase or selling prices or other trading conditions" (standard example of Art. 101 para. 1 lit. a TFEU). Whether the implementation of the agreements underlying the GU aims to restrict competition between FAZ GmbH and SZ GmbH in this sense can remain open, as in any case a restriction of competition is caused.</w:t>
      </w:r>
    </w:p>
    <w:p>
      <w:r>
        <w:t>The determination of the price lists applicable to the respective advertising inventory is made by the shareholders with the involvement of the GU. In addition, there is a comprehensive right to information for the shareholders and extensive reporting obligations of the GU towards its shareholders. This leads to a restriction of secret competition among the shareholders. It can no longer be expected that the shareholders will set their price lists completely independently of each other. It must be conceded that the price lists, as evidenced by the findings in the merger control procedure, are rather indicative in nature, as significant and varying discounts are granted depending on the customer. However, this competition for the conditions is dampened by the fact that the price lists provide the starting point for it.</w:t>
      </w:r>
    </w:p>
    <w:p>
      <w:r>
        <w:t>Of greater significance for the restriction of competition is that the GU is involved in setting the limits that are generally to be adhered to for granting discounts on the respective list prices and is entitled to grant discounts on the respective list prices at its own discretion in negotiations with customers. Thus, customers can no longer play off the conditions of SZ against those of FAZ. Until now, negotiations took place between the advertising customer or the representing agency and a sales representative of FAZ or another sales representative of SZ. In this context, there was a credible threat of breaking off negotiations and shifting the budget to the other medium as the closest competitor. Since in the future only one person will negotiate for both newspapers, this possibility is eliminated. The joint sales organization, on the other hand, creates the incentives and opportunities to optimize pricing in the common interest of both parent companies. Coordination regarding systematic special remuneration and/or rebates to advertisers or agencies will also be simplified in the future.</w:t>
      </w:r>
    </w:p>
    <w:p>
      <w:r>
        <w:t>3. Exemption pursuant to Art. 101 para. 3 TFEU</w:t>
        <w:br/>
        <w:t>The restrictions of competition are, however, exempt from the prohibition of Art. 101 para. 1 TFEU because the four conditions set out in Art. 101 para. 3 TFEU are cumulatively fulfilled in this case. First, the participants have demonstrated that the agreement (1.) leads to significant cost savings and revenue potentials and thus to an improvement in the production of goods. Furthermore, the market conditions shaped by competition suggest that (2.) consumers are adequately involved. The customers surveyed by the Federal Cartel Office assess the cooperation project neutrally to positively. On the one hand, they expect mostly unchanged, and in some cases even improved conditions due to volume discounts, and on the other hand, especially a reduced effort for implementing advertising campaigns due to decreasing booking and negotiation complexity. This is particularly significant in this case, given the large share of double bookers who place ads in both FAZ and SZ. Obviously excessive agreements that restrict competition more than necessary to achieve the cooperation goals are not recognizable. In this respect, the participating companies (3.) are not imposed any restrictions that are not essential for the realization of the profits of their cooperation. Finally, (4.) no opportunities are opened up to eliminate competition for a substantial part of the relevant goods. In the administrative practice of the European Commission, it is generally assumed that this exemption requirement is fulfilled when a market share of under 30% is achieved by the participants, as is the case here. Furthermore, the merger control examination has already shown that no significant impediment to effective competition is to be expected as a result of the joint marketing.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