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https://www.bundeskartellamt.de/SharedDocs/Entscheidung/EN/Fallberichte/Kartellverbot/2018/B7-185-17.pdf?__blob=publicationFile&amp;v=3</w:t>
      </w:r>
    </w:p>
    <w:p>
      <w:r>
        <w:t>Pages translated : 5</w:t>
      </w:r>
    </w:p>
    <w:p/>
    <w:p>
      <w:r>
        <w:rPr>
          <w:b/>
        </w:rPr>
        <w:t>[Pages 1–3]</w:t>
      </w:r>
    </w:p>
    <w:p>
      <w:r>
        <w:t xml:space="preserve">1  </w:t>
        <w:br/>
        <w:t xml:space="preserve">Case summary 20 September 2018  </w:t>
        <w:br/>
        <w:t xml:space="preserve">Fine proceeding against newspaper publishers  </w:t>
        <w:br/>
        <w:t xml:space="preserve">Sector: Regional subscription dailies  </w:t>
        <w:br/>
        <w:t xml:space="preserve">Ref: B7-185/17  </w:t>
        <w:br/>
        <w:t xml:space="preserve">Date of decisions: 3 September 2018  </w:t>
        <w:br/>
        <w:t xml:space="preserve">With its fining decisions of 3 September 2018, the Bundeskartellamt has concluded its fine proceeding against DuMont Mediengruppe GmbH &amp; Co. KG (hereinafter: DuMont media group or DuMont), an individual responsible, and a lawyer. According to the Bundeskartellamt’s findings, the DuMont media group entered a long-term illegal territorial agreement with the Bonner General-Anzeiger group for the Bonn region.  </w:t>
        <w:br/>
        <w:t xml:space="preserve">The Bonner Zeitungsdruckerei und Verlagsanstalt H. Neusser GmbH publishes the regional daily newspaper “Bonner General-Anzeiger” in the Bonn area. Since 1999, the DuMont media group, to which the “Kölner Stadt-Anzeiger”, which appears in the Cologne area, belongs, has also published the regional, independent daily “Rundschau” in the Cologne/Bonn area. The “Rundschau” appears in various local editions, among others as the “Bonner Rundschau” and “Rhein-Sieg Rundschau”. The distribution areas of the newspapers of the DuMont media group and Bonner General-Anzeiger group partially overlap in the Bonn area, meaning that they are direct competitors.  </w:t>
        <w:br/>
        <w:t>In late 2000, following around two years of discussions between the two company groups, the parties developed a joint plan which envisaged cross-holdings between the two company groups, purchase and pre-emption rights for DuMont as well as an agreement not to attack the other party's market shares. The parties assumed that if cross-holdings existed between them, they would not “ruin the markets” for each other. In a contract referred to as the “basic agreement”, the planned cross-holdings, a pre-emption right for DuMont to the Bonner Zeitungsdruckerei und Verlagsanstalt H. Neusser GmbH to purchase further shares, and the illegal agreement on the allocation of circulation areas were agreed. The contract was concluded at a notary in Basel/Switzerland in December 2000 although the parties were aware that it could not be legally binding because of its illegal content. So another similar contract which did not include the illegal market allocation of circulation areas was concluded at a notary in Cologne in December 2000.</w:t>
      </w:r>
    </w:p>
    <w:p>
      <w:r>
        <w:t xml:space="preserve">2  </w:t>
        <w:br/>
        <w:t xml:space="preserve">The “basic agreement” which was concluded at a notary in Basel contained agreements on certain regions in which the contractual partners intended to reduce competition between their daily newspapers. The parties explicitly agreed to reduce the local sections of DuMont’s “Bonner Rundschau" in Bonn and in the southern Rhein-Sieg district (Königswinter and Bad Honnef) on the right bank of the Rhine, as well as on the left bank of the Rhine (excluding Euskirchen). It was also agreed to at the same time reduce the local sections of the Bonner General-Anzeiger to the north and east of Siegburg where DuMont’s “Rhein-Sieg-Anzeiger” and the “Rhein-Sieg-Rundschau” had a stronger market position. This agreement was actually implemented. On 30 April 2005, the DuMont media group discontinued its “Ahrweiler” and “Bonn city” editions of the Bonner Rundschau with the result that local reporting was either thinned or phased out completely. In spring 2006, the Bonner General-Anzeiger group reduced its offer to the north and east of Siegburg. This was done by switching the early morning door delivery of the Bonner General-Anzeiger newspaper to delivery by post (usually at a later time in the day). The General-Anzeiger also reduced the size of its local section in the areas agreed, i.e. the number of pages of the local section, therefore “thinning out” local reporting.  </w:t>
        <w:br/>
        <w:t xml:space="preserve">In pursuit of their overall plan, the parties notified the Bundeskartellamt in March 2004 of DuMont’s acquisition of an 18% share of Bonner General-Anzeiger. Due to the Bundeskartellamt’s concerns about the planned acquisition, the parties reduced the percentage of shares to be acquired to approx. 9% during the merger control proceeding and cancelled the pre-emption right originally agreed. In spite of these measures, the Bundeskartellamt prohibited the planned acquisition of shares. In September 2004, the parties appealed against the prohibition decision.  </w:t>
        <w:br/>
        <w:t>In July 2005, the Düsseldorf Higher Regional Court reversed the Bundeskartellamt’s prohibition decision [ref. VI-Kart 26/04 (V)]. In its ruling, the court explicitly referred to the fact that the parties had already abandoned the plan to grant DuMont a pre-emption right to the Bonner General-Anzeiger during the merger control proceeding. According to the court, the Bonner General-Anzeiger group was therefore entirely free in its choice of whom to sell the shares to in the event of an intended sale. The court stated further that as it was not obliged to sell the shares to the DuMont group, the Bonner General-Anzeiger group also had no reason to consider DuMont’s interests in optimising the competitive position of its subscription dailies in any decisions to be taken in the “General-Anzeiger”’s interest. The Court found no specific indications either that the abandonment of the pre-emption right was not genuinely intended or that the parties still felt bound to the original agreement. It also stated that such conduct would constitute an offence and be subject to administrative fines.</w:t>
      </w:r>
    </w:p>
    <w:p>
      <w:r>
        <w:t xml:space="preserve">3  </w:t>
        <w:br/>
        <w:t>In September 2005, DuMont subsequently acquired a share of approx. 9% in Bonner Zeitungsdruckerei und Verlagsanstalt H. Neusser GmbH. The Bonner General-Anzeiger group participated in the acquisition with a silent holding to the same amount in DuMont’s business in the Cologne business area. In December 2005, the parties agreed on a new pre-emption right for DuMont without informing the Bundeskartellamt. The new pre-emption contract was again concluded at a notary in Basel (Switzerland). In addition, in September 2006, after consulting the Bundeskartellamt, DuMont increased its 9% share in Bonner Zeitungsdruckerei to 18%. The Bonner General-Anzeiger group increased its silent participation accordingly. In their talks with the Bundeskartellamt in preparation of this transaction, the parties deliberately did not disclose the new pre-emption agreement although they were aware of its relevance for the obligation to notify the transaction under merger control because of the Düsseldorf Higher Regional Court’s ruling. On 21 December 2016, DuMont and Neusser concluded a termination agreement ending the cross-shareholding relationship on 31 December 2016. All contractual arrangements as well as the communication with the Bundeskartellamt already mentioned were effected via the same lawyer.</w:t>
      </w:r>
    </w:p>
    <w:p>
      <w:r>
        <w:rPr>
          <w:b/>
        </w:rPr>
        <w:t>[Pages 4–5]</w:t>
      </w:r>
    </w:p>
    <w:p>
      <w:r>
        <w:t xml:space="preserve">4  </w:t>
        <w:br/>
        <w:t xml:space="preserve">Exemption for cooperations between press companies  </w:t>
        <w:br/>
        <w:t xml:space="preserve">The illicit aspects of the offence were neither diminished nor eliminated by Section 30(2b) sentence 1 of the German Competition Act, GWB. The provision on increasing cooperation between press publishers was introduced into competition law with the 8th amendment to the GWB in July 2017. The provision facilitates cooperation between press companies. However, according to its very wording, the provision does not apply if the agreement also includes editorial cooperation, which was the case here. Irrespective of this, according to the Bundeskartellamt’s practice, the provision is also not applicable if the aim of the agreement is to exclude competition between the publishing companies. The authority’s understanding of the application of this provision is based on its wording as well as its intent and purpose. It is apparent from the legal materials relating to the provision on Section 30(2b) that its aim is to protect press diversity. Its objective is to enable “possibilities of economic cooperation between the publishing houses other than editorial cooperation” in order to “counter the risks to press diversity in the changing media landscape.” The aim of the provision is not to eliminate competition but to strengthen competition between newspaper and magazine publishers and other media (in particular exclusively online media). In addition, according to the legislative intent of the amendment, those types of cooperation are to be favoured which serve to “rationalise and create synergies” in publishing activities. A cooperation can only lead to rationalisation if it achieves the same success with less effort or optimises success with the same effort. This means that the agreement of so-called hardcore restrictions (such as exclusively price-fixing or territorial agreements) between press publishers remains prohibited.  </w:t>
        <w:br/>
        <w:t xml:space="preserve">Leniency applications and settlements  </w:t>
        <w:br/>
        <w:t xml:space="preserve">In setting the fine, the Bundeskartellamt took into account that the DuMont media group had cooperated extensively with the authority in uncovering the agreements and that a settlement could be reached.  </w:t>
        <w:br/>
        <w:t xml:space="preserve">No fine was imposed on the Bonner General-Anzeiger group in accordance with the Bundeskartellamt's Leniency Programme.  </w:t>
        <w:br/>
        <w:t xml:space="preserve">Note  </w:t>
        <w:br/>
        <w:t xml:space="preserve">Persons who have suffered damage due to the infringement may claim compensation from the parties if the legal requirements are fulfilled. Final decisions of the Bundeskartellamt in which an infringement has been found to have occurred have a legally binding effect on court decisions within the meaning of Section 33b GWB.  </w:t>
        <w:br/>
        <w:t>This case summary gives an account of the developments at the date of its publication and does not cover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