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https://www.bundeskartellamt.de/SharedDocs/Entscheidung/EN/Fallberichte/Kartellverbot/2012/B7-22-07-B7-34-10.pdf;jsessionid=581DD51E7294B88EEF0D21F5860BE8D3.1_cid381?__blob=publicationFile&amp;v=2</w:t>
      </w:r>
    </w:p>
    <w:p>
      <w:r>
        <w:t>Pages translated : 4</w:t>
      </w:r>
    </w:p>
    <w:p/>
    <w:p>
      <w:r>
        <w:rPr>
          <w:b/>
        </w:rPr>
        <w:t>[Pages 1–3]</w:t>
      </w:r>
    </w:p>
    <w:p>
      <w:r>
        <w:t>1</w:t>
        <w:br/>
        <w:t xml:space="preserve">Case Summary 19 March 2013  </w:t>
        <w:br/>
        <w:t xml:space="preserve">Conclusion of Proceedings on Basic Encryption of TV Programmes  </w:t>
        <w:br/>
        <w:t xml:space="preserve">Sector: Media Sector/Broadcasting  </w:t>
        <w:br/>
        <w:t xml:space="preserve">Ref: B 7 – 22/07, B7 – 34/10  </w:t>
        <w:br/>
        <w:t xml:space="preserve">Date of the decisions: 27 December 2012  </w:t>
        <w:br/>
        <w:t xml:space="preserve">In December 2012 the Bundeskartellamt imposed fines totalling approx. 55 million euros on the TV broadcasting groups ProSiebenSat.1 ("P7S1") and RTL on account of anti-competitive agreements on the encryption of their digital free-TV programmes. At the same time an ongoing cartel proceeding against the broadcasting groups on account of these agreements was concluded on the basis of commitments made by the broadcasters under Section 32 b of the Act against Restraints of Competition (Gesetz gegen Wettbewerbsbeschränkungen (GWB).  </w:t>
        <w:br/>
        <w:t xml:space="preserve">The Bundeskartellamt has established that in 2005/2006 the two broadcasting groups agreed to broadcast their previously free unencrypted SD digital free TV programmes in future only in encrypted form and to charge viewers additional fees either directly or indirectly via the transmission path operator. These fees were mainly charged to transmission path operators for the issue of so-called trademark use or decryption rights. These rights, in turn, allowed the transmission path operators to transmit P7S1's and RTL's programmes to their customers, TV viewers, as so-called digital additional packages and against a fee. The broadcasting groups also planned to make use of technical measures such as anti-ad blockers and copy protection functions to restrict the TV viewer's options to use the programme signals.  </w:t>
        <w:br/>
        <w:t xml:space="preserve">Encryption was technically implemented by the transmission path operators, which have been bound to do so by distribution contracts concluded with the broadcasting stations since 2005. In the course of the implementation of the agreements, the bilateral negotiations between the broadcasters and the transmission path operators were conducted in close coordination between the broadcasting groups. The agreements were applied at least until the Bundeskartellamt searched the companies in May 2010, in many networks even longer. The agreements concerned the transmission paths cable, satellite and IPTV.  </w:t>
        <w:br/>
        <w:t xml:space="preserve">The agreements concluded at that time involved transmission in SD quality. As regards the later conclusion of agreements with transmission path operators for the broadcast of programmes in HD quality in 2010/2011, the Bundeskartellamt is not aware of any further contact between the broadcasting groups. However, it cannot be ruled out that the HD agreements were also influenced by the agreement from 2005/2006, the subject of the proceedings, because they also covered encryption, remuneration, packaging requirements and signal protection restrictions. The exact legal classification of the behaviour of the broadcasting groups as regards the HD agreements is, however, irrelevant for the decision which the authority took under Section 32 b GWB.  </w:t>
        <w:br/>
        <w:t xml:space="preserve">The agreements made and implemented by the broadcasting groups constitute restraints of competition which affect several markets. Firstly, they affect the market for broadcasting rights for free TV programmes. The suppliers on this market are the TV stations; the customers are cable network operators, IPTV providers or satellite operators which require these rights to sell digital free TV programmes to their customers as additional packages against a fee. By concluding these agreements, i.e. to charge an additional fee, the broadcasting groups have limited their scope for setting prices on the market for broadcasting rights to free TV programmes.  </w:t>
        <w:br/>
        <w:t xml:space="preserve">The other market affected is the TV advertising market. On this market both broadcasting groups are active as providers of advertising space and, according to the findings of the Bundeskartellamt, Düsseldorf Higher Regional Court and Federal Court of Justice, constitute a dominant duopoly. The object of the agreements between the broadcasting groups is to limit quality on the TV advertising market. In this way they coordinate their behaviour as regards the "encryption" quality parameter. Encryption reduces the audience range of both broadcasting groups, thereby reducing the "number of audience contacts" on the TV advertising market and at the same time influencing the value or quality of the advertising spots in their programmes. By coordinating this action, however, the broadcasters were able to minimise expected losses in revenue. In addition, they were able to avoid economic risks to their positions on the TV advertising market, which they would otherwise have faced if they had acted in isolation.  </w:t>
        <w:br/>
        <w:t xml:space="preserve">The fines proceeding was ended by way of settlement. The orders to impose the fines are final. The cartel administrative proceedings were concluded following the acceptance of commitments offered by the parties in accordance with Section 32 b GWB. The broadcasting groups have notified the Bundeskartellamt that they will transmit their digital SD programme signals via cable, satellite and IPTV unencrypted in future, at least for a 10-year period. By abandoning their encryption plans, the broadcasting groups lose the basis for charging cable network operators and other transmission path operators fees for SD TV transmission. At the same time the basis for implementing signal protection restrictions also no longer applies. This measure puts an end to the competition restraints in the area of SD transmission.  </w:t>
        <w:br/>
        <w:t xml:space="preserve">According to the commitments, there are only two exceptions to the broadcasters' obligation to provide unencrypted transmission. The first exception is if a transmission path operator encrypts all the programme signals of the TV channels. This is to protect the transmission path operator and its interest in ensuring access to its offers only to such users which pay the agreed fees and excluding non-paying users (so-called "illegal users"). The requirement for the exemption of both broadcasting groups from the SD non-encryption obligation, is however, that the entire free TV offer of a transmission path operator is encrypted and the provision of access to the encrypted content is already included in the subscription. If an additional fee is charged for a digital SD basic package, which is often the case, the exception no longer applies.  </w:t>
        <w:br/>
        <w:t xml:space="preserve">A further special regulation applies to IP based TV platforms which are not made entirely available within a network to which access can be controlled by the platform operator. This applies to companies without their own network (e.g. TV platforms operating in the open internet, like "Zattoo") or which broadcast (partly) outside their own network (e.g. content of a TV cable network operator or IPTV transmission path operator, which can also be accessed on mobile devices in mobile telephone networks and/or domestic WLAN/LAN networks). Although in such cases RTL and P7S1 can give their approval for encryption, this must not cause signal protection restrictions and limit recording functions. Also not covered by the commitments is the encrypted feed-in or transport of signals by the network operator itself or by third parties as long as it is ensured that these signals are available in unencrypted form for final customers, without signal protection restrictions and at no additional fee.  </w:t>
        <w:br/>
        <w:t>The commitments also address any effects of the agreement in the HD area by providing viewers with an unlimited, free SD signal in good quality as a long-term alternative. The TV viewer's decision to subscribe to the HD package is therefore based solely on the better image quality, not on access to the content of the broadcasters. This eliminates a key objective of the agreements.</w:t>
      </w:r>
    </w:p>
    <w:p>
      <w:r>
        <w:rPr>
          <w:b/>
        </w:rPr>
        <w:t>[Pages 4–4]</w:t>
      </w:r>
    </w:p>
    <w:p>
      <w:r>
        <w:t>4</w:t>
        <w:br/>
        <w:t>agreements, i.e. the intended coercive effect on the viewers brought about by the joint switchover to encrypted transmission. The decision under Section 32 GWB does not directly oblige the transmission path operators to transmit unencrypted SD signals. The commitments have to be enforced on the transmission path operators by the broadcasters. P7S1 and RTL undertake to enforce constant high-quality unencrypted SD transmission in their negotiations with transmission path operators. In order to achieve this, the companies may only offer their programme signals, particularly in HD quality, if unencrypted transmission in SD quality is ensured by the transmission path operators. The decision under Section 32 GWB is not yet final. This notwithstanding, the unencrypted SD transmission of RTL's and P7S1's free TV programmes has either already been implemented by a number of transmission path operators or it has been indicated that this will occur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