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http://www.bundeskartellamt.de/SharedDocs/Entscheidung/DE/Fallberichte/Kartellverbot/2012/B7-22-07.pdf;jsessionid=106AEEAED6989EE7C121A5E559115F72.1_cid371?__blob=publicationFile&amp;v=2</w:t>
      </w:r>
    </w:p>
    <w:p>
      <w:r>
        <w:t>Pages translated : 4</w:t>
      </w:r>
    </w:p>
    <w:p/>
    <w:p>
      <w:r>
        <w:rPr>
          <w:b/>
        </w:rPr>
        <w:t>[Pages 1–3]</w:t>
      </w:r>
    </w:p>
    <w:p>
      <w:r>
        <w:t>1</w:t>
        <w:br/>
        <w:t>Case Report March 19, 2013</w:t>
        <w:br/>
        <w:t>Termination of the Proceedings on TV Basic Encryption</w:t>
        <w:br/>
        <w:t>Industry: Media Industry, Broadcasting</w:t>
        <w:br/>
        <w:t>File Number: B 7 – 22/07, B7 – 34/10</w:t>
        <w:br/>
        <w:t>Date of Decisions: December 27, 2012</w:t>
        <w:br/>
        <w:t>The Federal Cartel Office imposed fines totaling approximately 55 million euros against the television broadcaster groups ProSiebenSat.1 (“P7S1”) and RTL in December 2012 for anti-competitive agreements regarding the introduction of encryption for their digital FreeTV programs. At the same time, an ongoing cartel administrative procedure against the broadcasting groups due to these agreements was concluded by accepting commitments pursuant to § 32 b GWB.</w:t>
        <w:br/>
        <w:t>The Federal Cartel Office found that the two broadcasting groups had agreed in the years 2005/2006 to broadcast their previously free and unencrypted digital Free-TV programs in SD quality only in encrypted form in the future and to charge fees directly or indirectly from television viewers via the transmission path operator. These fees were mostly asserted against transmission path operators for the granting of so-called brand usage or decryption rights. These rights, in turn, enabled the transmission path operators to market the programs of P7S1 and RTL as so-called digital add-on packages to their customers – the television viewers – for a fee. At the same time, the broadcasting groups intended to restrict the usage possibilities of the program signals for the television viewer through technical measures such as anti-ad blockers and copy protection functions.</w:t>
        <w:br/>
        <w:t>The encryption was technically implemented by the transmission path operators, who were contractually obligated to do so by feed-in contracts concluded with the broadcasters since 2005. In the course of implementing the agreements, the bilateral negotiations of the broadcasters with transmission path operators were conducted in close coordination among the broadcasting groups. The practice of these agreements continued at least until the time of the Federal Cartel Office's search of the companies in May 2010, and in several networks beyond that time. The agreements concerned the transmission paths of cable, satellite, and IPTV.</w:t>
      </w:r>
    </w:p>
    <w:p>
      <w:r>
        <w:t>2</w:t>
        <w:br/>
        <w:t>The agreements made at that time concerned the distribution in SD quality. In connection with the later conclusion of agreements with transmission path operators for the distribution of programs in HD quality in the years 2010/2011, according to the knowledge of the Federal Cartel Office, there were no further proven contacts between the broadcasting groups. However, it cannot be ruled out that the HD agreements were also influenced by the agreement in question from the years 2005/2006, insofar as they, like the previous agreements, contained encryption, chargeability, packaging requirements, and signal usage restrictions. A precise legal classification of the behavior of the broadcasting groups in the HD agreements was not relevant in the context of the decision pursuant to § 32 b GWB.</w:t>
        <w:br/>
        <w:t>The agreements made and implemented by the broadcasting groups constitute competition restrictions that affect various markets. Initially affected is the market for granting broadcasting rights to Free-TV television programs. Here, TV broadcasters act as suppliers. The demanders are cable network operators, IPTV providers, or satellite operators who need these rights to market digital FreeTV programs as paid add-on packages to their customers. Through the agreements, the broadcasting groups restricted their pricing freedom in the market for granting broadcasting rights to Free-TV television programs by agreeing to charge an additional fee.</w:t>
        <w:br/>
        <w:t>Furthermore, the television advertising market is affected. In this market, the two broadcasting groups act as providers of advertising slots and form a dominant duopoly according to the findings of the Office as well as the Higher Regional Court of Düsseldorf and the Federal Court of Justice. The agreements of the broadcasting groups represent a purposefully intended quality restriction in the television advertising market. Through the agreement, the broadcasters bind themselves regarding their behavior in exercising the quality parameter "encryption." Although encryption reduces the audience reach for both broadcasting groups, thereby decreasing the "number of viewer contacts" in the television advertising market, the broadcasters influenced the value or quality of the advertisements in their programs. By coordinating this approach, they were able to minimize the expected revenue reductions. Moreover, through coordinated action, they avoided the economic risks for their position in the television advertising market that would have been associated with isolated behavior.</w:t>
        <w:br/>
        <w:t>The fine procedure was concluded by way of a consensual termination of the proceedings (so-called settlement). The fine notices are legally binding.</w:t>
      </w:r>
    </w:p>
    <w:p>
      <w:r>
        <w:t>3</w:t>
        <w:br/>
        <w:t>The cartel administrative procedure was concluded by accepting commitments pursuant to § 32 b GWB. The broadcasters have committed to the decision division to distribute their digital SD program signals unencrypted via cable, satellite, and IPTV transmission paths in the future and to maintain unencrypted distribution for 10 years. With the abandonment of encryption, the basis for charging fees by the broadcaster groups to cable network and other transmission path operators for SD distribution is eliminated. At the same time, the basis for implementing signal protection restrictions is eliminated. This measure largely eliminates the competition restrictions, insofar as they relate to the SD area.</w:t>
        <w:br/>
        <w:t>The broadcasters are exempt from the obligation to distribute unencrypted only in two exceptional cases according to the commitments. The first exception concerns the case where a transmission path operator encrypts all program signals of the TV broadcasters it transmits. This regulation serves to protect the transmission path operator and is intended to take into account its legitimate interest in granting access to its offerings only to those users who pay the agreed fees and to exclude non-paying users (so-called "black users") from access. However, the condition for the release of the two broadcasting groups from the SD non-encryption obligation is that the entire FreeTV offering of a transmission path operator is transmitted in encrypted form and that the activation of the encrypted channels is always included immediately afterward. An additional fee for a digital SD basic package, as is still often charged, leads to the elimination of this exception.</w:t>
        <w:br/>
        <w:t>Another special regulation applies to IP-based TV distribution platforms that are not fully distributed in a network that can be controlled by the platform operator. This applies to companies that do not have any network (for example, TV platforms operating in the open internet like "Zattoo") or that are (partially) distributed outside their own network (for example, an offering from a TV cable network operator or IPTV transmission path operator that can also be used via mobile devices in mobile networks and/or home WLAN/LAN networks). In these cases, RTL and P7S1 may grant consent to encryption, but there must be no signal usage restrictions and no restrictions on the recording function as such. Furthermore, a encrypted supply or encrypted transport of the signals by the network operator itself or by third parties is not covered by the commitments, as long as it is ensured that these signals are usable for the end customer unencrypted, without signal usage restrictions, and without additional fees.</w:t>
      </w:r>
    </w:p>
    <w:p>
      <w:r>
        <w:rPr>
          <w:b/>
        </w:rPr>
        <w:t>[Pages 4–4]</w:t>
      </w:r>
    </w:p>
    <w:p>
      <w:r>
        <w:t xml:space="preserve">4  </w:t>
        <w:br/>
        <w:t xml:space="preserve">The commitments also address any potential impacts of the agreement on the HD area by providing viewers with an unrestricted, free SD signal in good quality as a permanent alternative. The decision of the television viewer to subscribe to the HD package thus solely relates to its better picture quality, not to access to the broadcasters' content. This eliminates a significant objective of the agreements, namely the intended coercive effect on viewers that was to be exerted through the joint transition to encrypted distribution.  </w:t>
        <w:br/>
        <w:t xml:space="preserve">The § 32 b decision does not impose an immediate obligation on transmission path operators for unencrypted SD distribution. The commitments must be enforced by the broadcasters against the transmission path operators. P7S1 and RTL commit to ensuring a consistently high-quality unencrypted SD transmission in negotiations with transmission path operators. To achieve this goal, the companies may only provide their program signals, particularly in HD quality, if the unencrypted transmission in SD quality is secured.  </w:t>
        <w:br/>
        <w:t>The § 32 b decision is not yet legally binding. Nevertheless, the unencrypted SD distribution of the free TV programs of RTL and P7S1 has already been implemented by several transmission path operators or its short-term implementation has been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