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https://www.bundeskartellamt.de/SharedDocs/Entscheidung/EN/Entscheidungen/Missbrauchsaufsicht/2025/B7-25-22_GAS.pdf?__blob=publicationFile&amp;v=3</w:t>
      </w:r>
    </w:p>
    <w:p>
      <w:r>
        <w:t>Pages translated : 47</w:t>
      </w:r>
    </w:p>
    <w:p/>
    <w:p>
      <w:r>
        <w:rPr>
          <w:b/>
        </w:rPr>
        <w:t>[Pages 1–3]</w:t>
      </w:r>
    </w:p>
    <w:p>
      <w:r>
        <w:t xml:space="preserve">Convenience translation – only the German version is authentic  </w:t>
        <w:br/>
        <w:t xml:space="preserve">7th Decision Division  </w:t>
        <w:br/>
        <w:t xml:space="preserve">B7-25/22-GAS  </w:t>
        <w:br/>
        <w:t xml:space="preserve">Decision pursuant to  </w:t>
        <w:br/>
        <w:t xml:space="preserve">Section 19a(2) sentence 4 in conjunction with  </w:t>
        <w:br/>
        <w:t xml:space="preserve">Section 32b(1) GWB  </w:t>
        <w:br/>
        <w:t xml:space="preserve">- Public version -  </w:t>
        <w:br/>
        <w:t xml:space="preserve">Decision  </w:t>
        <w:br/>
        <w:t xml:space="preserve">In the administrative proceeding  </w:t>
        <w:br/>
        <w:t xml:space="preserve">1. Alphabet Inc.  </w:t>
        <w:br/>
        <w:t xml:space="preserve">1600 Amphitheatre Parkway  </w:t>
        <w:br/>
        <w:t xml:space="preserve">Mountain View, CA 94043  </w:t>
        <w:br/>
        <w:t xml:space="preserve">USA  </w:t>
        <w:br/>
        <w:t xml:space="preserve">2. Google Germany GmbH  </w:t>
        <w:br/>
        <w:t xml:space="preserve">ABC-Straße 19  </w:t>
        <w:br/>
        <w:t xml:space="preserve">20354 Hamburg  </w:t>
        <w:br/>
        <w:t xml:space="preserve">– Parties 1 and 2 –  </w:t>
        <w:br/>
        <w:t xml:space="preserve">Legal representatives of the parties 1 and 2:  </w:t>
        <w:br/>
        <w:t xml:space="preserve">Dr Sarah Milde, Dr Malte Frank and Dr Lukas Kleeberger  </w:t>
        <w:br/>
        <w:t xml:space="preserve">Hengeler Mueller  </w:t>
        <w:br/>
        <w:t xml:space="preserve">Leopoldstraße 8-10  </w:t>
        <w:br/>
        <w:t xml:space="preserve">80802 Munich  </w:t>
        <w:br/>
        <w:t xml:space="preserve">Dr Tobias Pukropski  </w:t>
        <w:br/>
        <w:t xml:space="preserve">Rocan Rechtsanwälte PartG mbB  </w:t>
        <w:br/>
        <w:t xml:space="preserve">Louise-Dumont-Str. 5  </w:t>
        <w:br/>
        <w:t xml:space="preserve">40211 Düsseldorf  </w:t>
        <w:br/>
        <w:t xml:space="preserve">3. TomTom N.V.  </w:t>
        <w:br/>
        <w:t xml:space="preserve">De Ruijterkade 154  </w:t>
        <w:br/>
        <w:t xml:space="preserve">1011 AC Amsterdam/Netherlands  </w:t>
        <w:br/>
        <w:t xml:space="preserve">– Third parties admitted to  </w:t>
        <w:br/>
        <w:t>the proceeding under 1. –</w:t>
      </w:r>
    </w:p>
    <w:p>
      <w:r>
        <w:t xml:space="preserve">- 2 -  </w:t>
        <w:br/>
        <w:t xml:space="preserve">Legal representatives of the third parties admitted to the proceeding under 1.:  </w:t>
        <w:br/>
        <w:t xml:space="preserve">Dr Moritz Holm-Hadulla  </w:t>
        <w:br/>
        <w:t xml:space="preserve">Gleiss Lutz  </w:t>
        <w:br/>
        <w:t xml:space="preserve">Karl-Scharnagl-Ring 6  </w:t>
        <w:br/>
        <w:t xml:space="preserve">80539 Munich  </w:t>
        <w:br/>
        <w:t xml:space="preserve">4. Cerence Inc.  </w:t>
        <w:br/>
        <w:t xml:space="preserve">1 Burlington Woods Drive, Suite 301A  </w:t>
        <w:br/>
        <w:t xml:space="preserve">Burlington  </w:t>
        <w:br/>
        <w:t xml:space="preserve">Massachusetts / U.S.A.  </w:t>
        <w:br/>
        <w:t xml:space="preserve">– Third parties admitted  </w:t>
        <w:br/>
        <w:t xml:space="preserve">to the proceeding under  </w:t>
        <w:br/>
        <w:t xml:space="preserve">2. –  </w:t>
        <w:br/>
        <w:t xml:space="preserve">Legal representatives of the third parties admitted to the proceeding under 2.:  </w:t>
        <w:br/>
        <w:t xml:space="preserve">Clemens Graf York von Wartenburg  </w:t>
        <w:br/>
        <w:t xml:space="preserve">Dechert LLP  </w:t>
        <w:br/>
        <w:t xml:space="preserve">Avenue Louise 480, Box 13A  </w:t>
        <w:br/>
        <w:t xml:space="preserve">1050 Brussels  </w:t>
        <w:br/>
        <w:t xml:space="preserve">Belgium  </w:t>
        <w:br/>
        <w:t xml:space="preserve">for the examination of several practices of the parties in connection with Google Automotive Services under Section 19a(2) sentence 1 no 1, 2, 2a, 3, 3a, 3b and 5 of the German Competition Act (GWB)1, the 7th Decision Division of the Bundeskartellamt decided on 9 April 2025:  </w:t>
        <w:br/>
        <w:t xml:space="preserve">1. The commitments which were offered by the parties 1 and 2 in the submission dated 5 March 2025 and which are included in the annex of this decision are binding.  </w:t>
        <w:br/>
        <w:t xml:space="preserve">2. Pursuant to Section 19a(2) sentence 4 in conjunction with Section 32b(1) sentence 2 GWB the proceeding is closed to the extent covered by the commitments.  </w:t>
        <w:br/>
        <w:t xml:space="preserve">3. This decision is limited in time pursuant to paragraphs 9.1–9.3 of the commitments.  </w:t>
        <w:br/>
        <w:t>1 Gesetz gegen Wettbewerbsbeschränkungen as published on 26 June 2013 (Federal Law Gazette I 2013, pp. 1750, 3245), last amended by Article 6 of the law of 5 December 2024 (Federal Law Gazette 2024 I no 400) – GWB.</w:t>
      </w:r>
    </w:p>
    <w:p>
      <w:r>
        <w:t xml:space="preserve">- 3 -  </w:t>
        <w:br/>
        <w:t xml:space="preserve">4. The fee for the proceeding and this decision amounts to €[…] (in words: […] euros) and is payable by the parties 1 and 2 as joint debtors.  </w:t>
        <w:br/>
        <w:t xml:space="preserve">Reasons  </w:t>
        <w:br/>
        <w:t xml:space="preserve">A. Facts of the case  </w:t>
        <w:br/>
        <w:t xml:space="preserve">I. Parties involved  </w:t>
        <w:br/>
        <w:t xml:space="preserve">(1) Alphabet Inc. is a publicly listed holding company based in Mountain View (USA), which was founded in 2015 to restructure the then-existing Google Group. Alphabet’s subsidiaries are active in various technology sectors. As part of the restructuring, Google Inc. was also integrated into Alphabet Inc. On 1 September 2017 Google Inc. was reorganised into Google LLC. In Germany, Google is represented by Google LLC through its subsidiary Google Germany GmbH, Hamburg. In the following, the parties 1 and 2 and their affiliated companies within the meaning of Section 36(2) GWB are referred to as “Google”.  </w:t>
        <w:br/>
        <w:t xml:space="preserve">(2) Google is a multi-national group of companies which, in particular, offers a large number of internet services and software products. The products and services offered by Google include Android, Android Auto, Android Automotive Operating System (“AAOS”), Android TV, Chrome, Gmail, Google Assistant, Google Automotive Services (“GAS”), Google Calendar, Google Drive, Google Maps, Google Maps Platform (“GMP”), Google News, Google Photos, Google Play, Google Search, Google Wallet, YouTube and hardware (Pixel smartphone, Chromecast, Google TV and Google Nest Hub). A comprehensive overview of Google’s business areas is included in the Bundeskartellamt’s decision of 30 December 2021 in the B7-61/21 case, to which reference is made in this respect.2  </w:t>
        <w:br/>
        <w:t xml:space="preserve">(3) TomTom N.V. (in the following: “TomTom”) is a public limited liability company incorporated under Dutch law based in Amsterdam and listed on Euronext Amsterdam in the Netherlands. It offers navigation and maps content, software and services. Founded in 1991 as a start-up based in the Netherlands, it today has offices in 30 countries.  </w:t>
        <w:br/>
        <w:t>2 See Bundeskartellamt, decision of 30 December 2021, B7-61/21, Google, paras. 5 ff.</w:t>
      </w:r>
    </w:p>
    <w:p>
      <w:r>
        <w:rPr>
          <w:b/>
        </w:rPr>
        <w:t>[Pages 4–6]</w:t>
      </w:r>
    </w:p>
    <w:p>
      <w:r>
        <w:t>- 4 -</w:t>
      </w:r>
    </w:p>
    <w:p>
      <w:r>
        <w:t>(4) Cerence Inc. (hereinafter: “Cerence”) based in Burlington (Massachusetts, USA) offers voice-based AI solutions for the automotive industry. The company’s portfolio includes several core products, for example Cerence Drive, a platform for developing voice assistant solutions for vehicle manufacturers tailored to individual customer needs; Cerence Assistant, a standardized voice assistant for vehicle manufacturers; and Cognitive Arbitrator, a product which enables drivers to interact with multiple voice assistants in the vehicle.</w:t>
      </w:r>
    </w:p>
    <w:p>
      <w:r>
        <w:t>II. GAS</w:t>
      </w:r>
    </w:p>
    <w:p>
      <w:r>
        <w:t>(5) The proceeding concerns several of Google’s practices in connection with GAS, an in-vehicle infotainment offering of Google.</w:t>
      </w:r>
    </w:p>
    <w:p>
      <w:r>
        <w:t>1. In-vehicle infotainment systems</w:t>
      </w:r>
    </w:p>
    <w:p>
      <w:r>
        <w:t>(6) In-vehicle infotainment (“IVI”) refers to vehicle-embedded systems used for information delivery, entertainment and communication. IVI systems consist of hardware components (including a screen for displaying routes and often also for controlling services with swipe gestures) and software components. The necessary software components include an operating system. As an essential component, IVI systems include a service which drivers can use while driving in order to, among other things, receive navigation instructions guiding them to their destination, receive information on their routes, such as distances, alternative routes and estimated time of arrival, and search for places or place details. In the following, such a service is referred to as “map service”. Typically, IVI systems also feature a voice assistant, which is particularly important in IVI systems in order to minimize driver distraction when accessing or operating services. More and more often, an app store is also part of IVI systems through which other services are made available. IVI systems are also increasingly supplemented with further elements, such as voice telephony, messaging services or music streaming services. This is in part because the widespread use of smartphones and other mobile end devices, which make a large number of digital services available via apps, also increases end users’ expectations of IVI systems.</w:t>
      </w:r>
    </w:p>
    <w:p>
      <w:r>
        <w:t>(7) Almost all current IVI systems enable users to project their smartphone screen onto the IVI system user interface (“smartphone projection”). For this purpose, Google has developed the Android Auto application (for Android devices) and Apple has developed the Apple CarPlay app (for iOS devices). Vehicle manufacturers integrate appropriate interfaces into the individual IVI systems. Smartphone projection enables users to use their smartphone via the IVI system. However, premium vehicle manufacturers, in particular, increasingly equip their vehicles with stand-alone IVI systems, which allows them to offer an extended range of functions (for example, controlling vehicle functions).</w:t>
      </w:r>
    </w:p>
    <w:p>
      <w:r>
        <w:t>(8) IVI systems are configured in a way that enables end users to use them immediately (“out-of-the-box” use). For this purpose, vehicle manufacturers pre-install applications such as map services or app stores which provide all essential functions of an IVI system. In addition, IVI systems often use default settings, meaning that, for example, a specific voice assistant is set as the service to be used for functions such as voice recognition or voice control unless the end user changes this setting. Default settings, as well as the placement of services on the screen, are relevant to how often a specific service is used. They become particularly important when several services with comparable functions are available on an IVI system or can be downloaded and installed by end users.</w:t>
      </w:r>
    </w:p>
    <w:p>
      <w:r>
        <w:t>2. Google’s activities in the automotive sector</w:t>
      </w:r>
    </w:p>
    <w:p>
      <w:r>
        <w:t>(9) Google, an operator of internet services with (in some cases, very) wide reach, particularly for the use on mobile devices, increasingly also offers services for use in vehicles.</w:t>
      </w:r>
    </w:p>
    <w:p>
      <w:r>
        <w:t>(10) With the introduction of the Android Auto service mentioned above, Google has enabled the projection of Android smartphones onto the user interface of IVI systems. Via Google Play, Google offers apps which can be used for this purpose. These apps have to meet specific requirements set by Google which, as Google states, aim at preventing driver distraction.</w:t>
      </w:r>
    </w:p>
    <w:p>
      <w:r>
        <w:t>(11) Via GMP, Google offers commercial users various services (routing services, real-time traffic information and address and places search) which can also be used as or for map services in IVI systems. However, Google’s contractual provisions have so far partially restricted the interoperability of GMP services with third-party services and Google has generally stipulated that third-party services cannot be used in IVI systems.</w:t>
      </w:r>
    </w:p>
    <w:p>
      <w:r>
        <w:t>(12) Since 2018 Google has offered vehicle manufacturers GAS for licensing. GAS is a product suite consisting of versions of Google Maps, Google Play and Google Assistant which are adapted for in-vehicle use and can only be run on the AAOS operating system. AAOS is an operating system which Google developed for the use of services in IVI systems. It contains the entire program code and all interfaces of the Android operating system as well as additional interfaces enabling the interaction between apps and vehicle hardware. In the following, based on the wording Google uses in its contracts, the term “GAS Infotainment Platform” is used when referring to the combination of GAS and AAOS. In line with the definition Google uses in its proposed commitments, the term “GAS Software Components” is used when collectively referring to the Google Maps, Google Play and Google Assistant services as parts of GAS. However, this is not to imply that Google Maps, Google Play and Google Assistant as parts of GAS are regarded as non-stand-alone components of an integrated “GAS” product.</w:t>
      </w:r>
    </w:p>
    <w:p>
      <w:r>
        <w:t>(13) Since 2022 Google has developed the Auto SDK (formerly “Google Maps OEM SDK”). The Auto SDK is to make it possible for vehicle manufacturers to themselves design the user interface of the map service for their IVI systems. Google’s practices in connection with the Auto SDK are not the subject of this proceeding and this decision. This decision does not preclude the Bundeskartellamt from taking up practices in connection with the Auto SDK at a later point in time.</w:t>
      </w:r>
    </w:p>
    <w:p>
      <w:r>
        <w:t>(14) Other offerings of Google are still in the project stage – a voice assistant solution for IVI systems, the Cloud Custom Assistant, and a stand-alone version of Google Play, the “Google Play Store”.</w:t>
      </w:r>
    </w:p>
    <w:p>
      <w:r>
        <w:t>3. Google’s agreements with vehicle manufacturers on the use of GAS in IVI systems</w:t>
      </w:r>
    </w:p>
    <w:p>
      <w:r>
        <w:t>(15) Google has various agreements with vehicle manufacturers in connection with GAS.</w:t>
      </w:r>
    </w:p>
    <w:p>
      <w:r>
        <w:rPr>
          <w:b/>
        </w:rPr>
        <w:t>[Pages 7–9]</w:t>
      </w:r>
    </w:p>
    <w:p>
      <w:r>
        <w:t>- 7 -</w:t>
      </w:r>
    </w:p>
    <w:p>
      <w:r>
        <w:t>(16) The GAS licensing agreement grants vehicle manufacturers the right to use the Google Maps, Google Play and Google Assistant services in return for a license fee. The services cannot be sourced separately. In addition, in the last few years license holders have been contractually required to display Google Maps, Google Play and Google Assistant prominently on the screen and to set Google Maps and Google Assistant as default services. Google has recently removed these provisions from its GAS licensing agreement template and from the GAS UX Requirements for GAS license holders and has adapted its extension agreements accordingly. Google has informed the GAS license holders that it will no longer derive any rights from these provisions.</w:t>
      </w:r>
    </w:p>
    <w:p>
      <w:r>
        <w:t>(17) Lastly, Google concluded a Revenue Share Agreement (RSA) with two brand manufacturers, which has meanwhile been terminated. The agreement provided that the vehicle manufacturers receive a share of the advertising revenues generated through Google Assistant on the condition that no other voice assistant be installed in the GAS Infotainment Platform.</w:t>
      </w:r>
    </w:p>
    <w:p>
      <w:r>
        <w:t>III. Course of the proceeding</w:t>
      </w:r>
    </w:p>
    <w:p>
      <w:r>
        <w:t>(18) The proceeding was initiated following a complaint against Google’s practices in connection with GAS which TomTom filed with the Bundeskartellamt on 4 August 2021. The complaint also relates to practices in connection with GMP (see para. 11), which are the subject of a proceeding conducted in parallel.</w:t>
      </w:r>
    </w:p>
    <w:p>
      <w:r>
        <w:t>(19) The Bundeskartellamt’s 7th Decision Division informed Google on 14 February 2022 that it had initiated a proceeding on the suspicion of abusive practices pursuant to Section 19a(2) GWB and Sections 19, 20 GWB and Article 102 of the Treaty on the Functioning of the European Union (TFEU) in connection with its GMP, GAS and AAOS offerings. On the same day, in accordance with Section 49(1) GWB, the cartel authority of the Land Hamburg was informed about the initiation of the proceeding.</w:t>
      </w:r>
    </w:p>
    <w:p>
      <w:r>
        <w:t>(20) In the course of its investigations, the Decision Division held numerous talks with different market participants and requested written information from Google and companies offering services that compete with the GAS services. Upon the Bundeskartellamt’s request on the basis of Article 12 of Regulation 1/2003, the European Commission forwarded the Bundeskartellamt information from its surveys of vehicle manufacturers and voice assistant providers in the AT.40722 – Google Voice Assistant proceeding. The companies surveyed consented to the information also being used for the purposes of Section 19a GWB.</w:t>
      </w:r>
    </w:p>
    <w:p>
      <w:r>
        <w:t>(21) TomTom was admitted to the proceeding on 4 August 2022, Cerence on 25 May 2023.</w:t>
      </w:r>
    </w:p>
    <w:p>
      <w:r>
        <w:t>(22) At various stages of the proceeding, the Decision Division granted the parties access to the then current version of the main file and to the supporting files maintained for the investigations. TomTom was also granted access to the files several times. Cerence was granted access to TomTom’s complaint on 2 June 2023 and, on 11 August 2023, to various sections of the files as specified by Cerence.</w:t>
      </w:r>
    </w:p>
    <w:p>
      <w:r>
        <w:t>(23) On 21 June 2023 Google was sent a preliminary assessment notice in the form of a draft decision. Google responded to this notice on 9 August 2023. On 31 August 2023 Google responded to the Bundeskartellamt’s notice of 20 July 2023, which stated that if one of the parties requested the court to order the suspensive effect of the decision, it may not be necessary to suspend the implementation deadlines as provided for in the draft decision. On 30 October 2024 the Decision Division sent Google another preliminary assessment notice in the form of a draft decision based on Section 32 GWB, which Google responded to on 4 December 2024 and TomTom on 6 December 2024; Cerence chose not to respond.</w:t>
      </w:r>
    </w:p>
    <w:p>
      <w:r>
        <w:t>(24) Google only partially consented to the first preliminary assessment notice being disclosed to the third parties admitted to the proceeding to the extent proposed by the Bundeskartellamt and pre-emptively appealed against a disclosure exceeding the extent Google had consented to, which was referred to the Federal Court of Justice. In response, on 27 July 2023, the Bundeskartellamt sent the third parties admitted to the proceeding a copy of the preliminary assessment notice in which the sections in question had been redacted. The third parties admitted to the proceeding commented on the redacted preliminary assessment notice on 17 October 2023 and on 22 October 2023. Following the Federal Court of Justice’s decision of 20 February 2024 (KVB 69/23), the Decision Division disclosed further sections of the preliminary assessment notice to the third parties admitted to the proceeding and requested them to provide explanatory comments on specific issues. The third parties admitted to the proceeding replied on 22 March 2024 and on 27 March 2024.</w:t>
      </w:r>
    </w:p>
    <w:p>
      <w:r>
        <w:t>(25) On 8 November 2023 Google submitted a first proposal for commitments to dispel the Decision Division’s concerns communicated to Google upon preliminary assessment. In this context, the Decision Division conducted a market test requesting vehicle manufacturers and their suppliers to assess the proposed commitments and answer a number of questions. Google was granted access to the supporting file maintained for this market test on 27 March 2024. On the same day the Decision Division informed Google in writing about the specific aspects of the proposed commitments which, in view of the market test findings, were incapable of terminating the proceeding. In particular, the Decision Division pointed out that its concerns raised upon preliminary assessment about the bundling of services in GAS could only be dispelled by offering functionally and commercially equivalent stand-alone services. The Decision Division also noted that Google had to fully refrain from including provisions in its contracts on default settings and the prominent placement of services, which would also apply to a possible offering of stand-alone services.</w:t>
      </w:r>
    </w:p>
    <w:p>
      <w:r>
        <w:t>(26) In response, Google, on 13 May 2024, proposed new commitments taking into account the Decision Division’s notes, which, after some adjustments, were then assessed in a second market test. After further discussion of different commitment proposals, and having been given the opportunity to comment on a termination of the proceeding on the basis of Section 32 GWB for which the Bundeskartellamt sent Google a draft decision on 30 October 2024, Google – without prejudice to its view that the intervention requirements of Section 19a(2) sentence 1 no 3b and 5 GWB are not fulfilled – submitted binding commitments on 5 March 2025.</w:t>
      </w:r>
    </w:p>
    <w:p>
      <w:r>
        <w:t>(27) In the course of the proceeding the Decision Division maintained regular and close contact with the European Commission. On 17 July 2024, pursuant to Article 38(3) of the Digital Markets Act (DMA), the Decision Division communicated its draft decision based on Section 32b GWB to the European Commission. The European Commission responded on 14 August 2024.</w:t>
      </w:r>
    </w:p>
    <w:p>
      <w:r>
        <w:rPr>
          <w:b/>
        </w:rPr>
        <w:t>[Pages 10–12]</w:t>
      </w:r>
    </w:p>
    <w:p>
      <w:r>
        <w:t>- 10 -</w:t>
      </w:r>
    </w:p>
    <w:p>
      <w:r>
        <w:t>(28) On 7 March 2025 the Decision Division invited Google, and on 11 March 2025 the third parties admitted to the proceeding, to comment on its draft decision. Google commented on the draft decision on 28 March 2025, and TomTom on 21 March 2025. Cerence chose not to respond.</w:t>
      </w:r>
    </w:p>
    <w:p>
      <w:r>
        <w:t>B. Preliminary legal assessment</w:t>
      </w:r>
    </w:p>
    <w:p>
      <w:r>
        <w:t>(29) Upon preliminary assessment, the following practices fulfil the criteria of several prohibitions or examples set out in Section 19a(2) sentence 1 GWB:</w:t>
        <w:br/>
        <w:t>- bundling Google Maps, Google Play and Google Assistant in GAS,</w:t>
        <w:br/>
        <w:t>- granting vehicle manufacturers participation in advertising revenues on the condition that no services with comparable functions be installed in IVI systems,</w:t>
        <w:br/>
        <w:t>- including in the GAS licensing agreement provisions on default settings and on the prominent placement of services,</w:t>
        <w:br/>
        <w:t>- restricting the interoperability between GAS services and third-party services.</w:t>
      </w:r>
    </w:p>
    <w:p>
      <w:r>
        <w:t>I. Application not precluded by DMA</w:t>
      </w:r>
    </w:p>
    <w:p>
      <w:r>
        <w:t>(30) The application of Section 19a(2) GWB and the issuance of the present decision based on Section 19a(2) sentence 4 in conjunction with Section 32b(1) GWB are not precluded by the DMA. The decision respects the scope of Article 1(6) sentence 2(b) DMA. According to this provision, the DMA is without prejudice to the application of national competition rules prohibiting other forms of unilateral conduct insofar as they are applied to undertakings other than gatekeepers or amount to the imposition of further obligations on gatekeepers. Section 19a GWB is a national competition rule prohibiting unilateral conduct within the meaning of Article 1(6) sentence 2(b) DMA.</w:t>
      </w:r>
    </w:p>
    <w:p>
      <w:r>
        <w:t>(31) This commitment decision addresses Google and therefore a gatekeeper within the meaning of the DMA. On 5 September 2023 the European Commission designated Google, among other companies, as a gatekeeper within the meaning of Article 3 DMA. The designation decision lists the following services as relevant core platform services pursuant to Article 3(9) DMA: Google Maps, Google Play, Google Shopping, YouTube, Google Search, Chrome, Google Android (without AAOS) and Google’s advertising services (including the parts of Google Analytics that can be used for advertising purposes).</w:t>
      </w:r>
    </w:p>
    <w:p>
      <w:r>
        <w:t>(32) The commitments impose on Google further obligations within the meaning of Article 1(6) sentence 2(b) DMA, as they either concern Google services which are not listed in the European Commission’s decision of 5 September 2023 as core platform services representing an important gateway for business users to reach end users, or as they concern Google Maps or Google Play but represent further obligations with regard to Google Maps and Google Play compared with those currently applicable to Google under the DMA.</w:t>
      </w:r>
    </w:p>
    <w:p>
      <w:r>
        <w:t>II. Application of Section 19a(2) sentence 1 GWB</w:t>
      </w:r>
    </w:p>
    <w:p>
      <w:r>
        <w:t>(33) The Decision Division’s preliminary assessment is based on Section 19a(2) sentence 1 no 1, 2, 2a, 3, 3a, 3b GWB. Google is also the norm addressee of the prohibitions and examples set out in Section 19a(2) sentence 1 GWB as the Decision Division determined on 30 December 2021 that Google is of paramount significance for competition across markets pursuant to Section 19a(1) sentence 1 GWB.</w:t>
      </w:r>
    </w:p>
    <w:p>
      <w:r>
        <w:t>1. Bundling of services</w:t>
      </w:r>
    </w:p>
    <w:p>
      <w:r>
        <w:t>(34) Upon preliminary assessment, the bundling of the GAS services in licence agreements fulfils the criteria of the examples set out in Section 19a(2) sentence 1 no 3a GWB (automatic linking of the use of an offer to the use of another offer which is not necessary for the use of the former offer, without giving the user sufficient choice) and in Section 19a(2) sentence 1 no 3b GWB (making the use of an offer conditional on the use of another offer), of the general prohibition under Section 19a(2) sentence 1 no 3 GWB (impeding competitors on a market on which the norm addressee can rapidly expand its position even without being dominant) and of the prohibition under Section 19a(2) sentence 1 no 2 GWB (taking measures that impede other undertakings in carrying out their business activities on supply or sales markets where the norm addressee’s activities are of relevance for accessing such markets).</w:t>
      </w:r>
    </w:p>
    <w:p>
      <w:r>
        <w:t>(35) Upon preliminary assessment, Google’s GAS licence agreements link the use of the GAS services by vehicle manufacturers to the automatic use of the respective other GAS services without this being necessary and do not give vehicle manufacturers sufficient choice (Section 19a(2) sentence 1 no 3a GWB). The Decision Division has based this assessment on the following presumptions:</w:t>
      </w:r>
    </w:p>
    <w:p>
      <w:r>
        <w:t>(36) Each of the services contained in GAS constitutes a stand-alone service, not a non-stand-alone component of an integrated GAS product. According to the findings of the investigation, the types of services in question (map services, app stores and voice assistants) are generally offered and sourced separately on the market. Upon preliminary assessment, by bundling these services in the GAS licensing agreements, Google intentionally deviates from the mix-and-match approach prevailing in the market, which allows vehicle manufacturers or suppliers acting on their behalf to choose between services from a number of providers and, according to their needs, develop or compose an IVI system using several services. Vehicle manufacturers which deem one of the services contained in GAS to be superior to other offerings available on the market and choose GAS for this reason are thus forced to also source from Google all other services contained in GAS, even though offerings of Google’s competitors may be better suited to meet their specific individual demand. The fact that some vehicle manufacturers prefer to source IVI systems as a whole does not negate the presumption that there is a demand for stand-alone services. This is because even if vehicle manufacturers plan to source an already integrated product, it may be practical from their perspective to combine products from different providers, if necessary with the support of a third party. The presumption that the GAS services constitute stand-alone services is also not negated by the fact that some of the individual services contained in GAS use functions of the respective other GAS services.</w:t>
      </w:r>
    </w:p>
    <w:p>
      <w:r>
        <w:rPr>
          <w:b/>
        </w:rPr>
        <w:t>[Pages 13–15]</w:t>
      </w:r>
    </w:p>
    <w:p>
      <w:r>
        <w:t>- 13 -</w:t>
      </w:r>
    </w:p>
    <w:p>
      <w:r>
        <w:t>The interaction of services is not specific to GAS and does not mean that GAS must be regarded as an integrated product or that linking the GAS services must be regarded as necessary. Also when combining comparable services of different providers in an IVI system, as has so far been the prevailing approach in the market, interoperability between such services is already possible (for example when combining a voice assistant with a map service). With respect to updates, which in GAS are centrally provided for all services via Google Play, a linkage is also not necessary. The solutions available on the market use other ways of providing updates, without calling into question the functionality of mix-and-match based IVI systems.</w:t>
      </w:r>
    </w:p>
    <w:p>
      <w:r>
        <w:t>(37) Taking into account the market test findings, the GMP services and the offerings for IVI systems referred to by Google which are currently still being developed (Auto SDK, Cloud Custom Assistant, Google Play Store) are not alternatives to the GAS services and therefore, upon preliminary assessment, do not provide sufficient choice. The Auto SDK, in particular, is a different type of offering compared with Google Maps. The SDK does not have a user interface, meaning that, for example, maps are not visualised on a screen in the IVI system, which is an integral feature of any map service. Google Maps, on the other hand, is a pre-integrated and complete map service directly intended to be used by end users.</w:t>
      </w:r>
    </w:p>
    <w:p>
      <w:r>
        <w:t>(38) Upon preliminary assessment, Google also makes the use of an offer it provides conditional on the use of another offer (Section 19a(2) sentence 1 no 3b GWB). Due to the provisions of the GAS licensing agreement, vehicle manufacturers can only use Google Maps, Google Play and Google Assistant in their IVI systems if they also use the other two respective GAS services.</w:t>
      </w:r>
    </w:p>
    <w:p>
      <w:r>
        <w:t>(39) It can be left open in the present case whether or to what extent individual elements of the general prohibition under Section 19a(2) sentence 1 no 3 GWB, for example the element of impeding competitors, also have to be addressed when referring to the examples set out in this section. As (alternatively) established by the Bundeskartellamt, upon preliminary assessment, the criteria of the general prohibition are also fulfilled.</w:t>
      </w:r>
    </w:p>
    <w:p>
      <w:r>
        <w:t>(40) Upon preliminary assessment, Google’s conduct impedes its competitors in the relevant sales markets, that is providers of map services, app stores and voice assistants. Google’s conduct restricts to a relevant extent their freedom to compete as Google’s bundling of services in the GAS licensing agreements provides a strong incentive for vehicle manufacturers to license GAS as a whole instead of sourcing individual services (also) from third-party providers. This eliminates sales opportunities for providers whose services vehicle manufacturers would have otherwise considered as an alternative. Upon preliminary assessment, Google is also capable of rapidly expanding its market position, which is already indicated by the continuous expansion of its activities in the automotive sector over the past few years.</w:t>
      </w:r>
    </w:p>
    <w:p>
      <w:r>
        <w:t>(41) Upon preliminary assessment, the criteria of the prohibition under Section 19a(2) sentence 1 no 2 GWB are also fulfilled. In particular, the GAS Infotainment Platform has become increasingly important for market access by providers of services for IVI systems. This is also indicated by the developments to date, which are characterised by steadily increasing sales of vehicles equipped with the GAS Infotainment Platform. Also beyond the automotive sector, the services contained in GAS rank among the leading products, especially for use on mobile devices. Upon preliminary assessment, bundling the GAS services is therefore part of Google’s strategy to expand its existing ecosystem to also cover the automotive sector, and Google’s conduct affects to a relevant extent market access by other providers of services for IVI systems.</w:t>
      </w:r>
    </w:p>
    <w:p>
      <w:r>
        <w:t>(42) It is also possible for Google to set specific rules with which providers have to comply in order to have their services run on the GAS Infotainment Platform in addition to GAS. As a result, and particularly due to its AAOS operating system, Google has an intermediation position which, upon preliminary assessment, allows the company to control third-party market access.</w:t>
      </w:r>
    </w:p>
    <w:p>
      <w:r>
        <w:t>(43) Upon preliminary assessment, the conduct in question is also not objectively justified (Section 19a(2) sentences 2 and 3 GWB). Whether there is an objective justification is examined by weighing up the respective interests in the light of the law’s objective, which is directed towards ensuring freedom of competition. In a comparison with (in particular short-term) efficiencies for the benefit of the affected companies and consumers, particular weight must normally be given to the long-term legal objectives of limiting economic positions of power, keeping markets open and protecting companies’ opportunities in the competitive process. Pursuant to Section 19a(2) sentence 3 GWB, the burden of demonstration and proof that a conduct is objectively justified in the individual case lies with the norm addressee.</w:t>
      </w:r>
    </w:p>
    <w:p>
      <w:r>
        <w:t>(44) Upon preliminary assessment, in the necessary weighing of interests, Google’s interests do not prevail over the public’s interest in protecting competition and the interests of customers, competitors and end users. When balancing interests, the public interest objective of Section 19a GWB – keeping markets open and preventing norm addressees, in this case Google, from expanding their position of power by using means that are not based on competition on the merits – is of overriding importance. Section 19a GWB is intended to address the particular competitive risks arising from the business models of large digital companies. Great importance also must be attached to the interest of companies competing with the norm addressee, in this case Google, in having continued access to the market and being able to compete with the norm addressee on the merits. The interest of customers and end users in having sufficient choice also carries significant weight. It should be considered in this regard that the protection of freedom of choice was explicitly enshrined in Section 19a GWB by setting out examples, confirming the special status of the interests normally protected under this provision.</w:t>
      </w:r>
    </w:p>
    <w:p>
      <w:r>
        <w:t>(45) In particular, the bundling practice in question cannot be justified in this case by arguing that the bundled services are a new product with which Google is competing with established providers, some of whom (at least still) have a strong market position when it comes to offering individual stand-alone products. It is easily possible for Google to compete with other providers using stand-alone offerings of the Google Maps, Google Play and Google Assistant services, which market participants in some aspects deemed to be superior to the established offerings.</w:t>
      </w:r>
    </w:p>
    <w:p>
      <w:r>
        <w:rPr>
          <w:b/>
        </w:rPr>
        <w:t>[Pages 16–18]</w:t>
      </w:r>
    </w:p>
    <w:p>
      <w:r>
        <w:t>- 16 -</w:t>
        <w:br/>
        <w:t>other services in terms of quality. In any case, for this purpose Google does not have to use practices deviating from the means of regular competition on the merits, for example by bundling services which could also be offered as stand-alone services. If, compared with offering the mix-and-match solutions based on individual interoperable services prevailing in the market, bundling the services offered particular advantages, such as increased product quality or increased security due to better interoperability of the bundled services, Google in any case would have to substantiate these advantages in detail; however, Google did not provide such a substantiation.</w:t>
      </w:r>
    </w:p>
    <w:p>
      <w:r>
        <w:t>(46) It should also be noted that in-vehicle infotainment, the area affected by Google’s practices, will continue to become increasingly important for providers of relevant services and end users. Within a short period of time, Google has been able to achieve secure positions in the relevant markets, and it is to be expected that Google can further expand these positions. This involves the risk of irreversible changes to the market structures as other providers are being squeezed out of the market. For this reason, it is essential to intervene at an early stage where a norm addressee uses means that are not based on competition on the merits, especially, like in this case, when an area of growing economic importance is affected.</w:t>
      </w:r>
    </w:p>
    <w:p>
      <w:r>
        <w:t>2. Granting vehicle manufacturers economic benefits on the condition that they refrain from installing other services with comparable functions</w:t>
      </w:r>
    </w:p>
    <w:p>
      <w:r>
        <w:t>(47) Upon preliminary assessment, the agreements between Google and vehicle manufacturers which provided for a participation in advertising revenues on the condition that Google Assistant be the only voice assistant installed in IVI systems, such as Google’s agreement with two brand manufacturers which has meanwhile been terminated, fulfil the criteria of the example set out in Section 19a(2) sentence 1 no 2a GWB (measures that result in the exclusive pre-installation or integration of offers provided by the norm addressee). The participation in advertising revenues provided relevant incentives for vehicle manufacturers not to install any other voice assistants in addition to Google Assistant on their respective IVI systems. Based on an examination which, since the criteria of the example are fulfilled, was only carried out alternatively, this resulted in an impediment of other companies, at least to the extent that the sales opportunities of other providers of services for IVI systems are reduced and their freedom to compete is thus impaired. Upon preliminary assessment, the Decision Division deems it likely that Google would conclude such agreements again and for Google Maps and Google Play. Upon preliminary assessment, possible commercial advantages for Google, which under the agreements which have meanwhile been terminated were not relevant anyway, cannot objectively justify the use of such agreements.</w:t>
      </w:r>
    </w:p>
    <w:p>
      <w:r>
        <w:t>3. Default settings and prominent placement of services</w:t>
      </w:r>
    </w:p>
    <w:p>
      <w:r>
        <w:t>(48) Upon preliminary assessment, Google’s practice, which has meanwhile been abandoned, of including in its agreements provisions on default settings and the prominent placement of services on the screen fulfils the criteria of the prohibition under Section 19a(2) sentence 1 no 2 GWB. The agreements had the potential to reduce the frequency of use of alternative services, for whose market access the GAS Infotainment Platform is becoming increasingly important, and therefore impeded vehicle manufacturers and other providers.</w:t>
      </w:r>
    </w:p>
    <w:p>
      <w:r>
        <w:t>(49) Google’s contractual instructions regarding default settings and the prominent placement of its services restricted its customers’ IVI system design possibilities and impaired the sales opportunities of competitors to a relevant extent. Upon the Decision Division’s preliminary assessment, the instructions result in a large proportion of end users only using the default or prominently displayed services and not using alternative services with the same functions which are generally also available. This, in turn, reduces the incentives for vehicle manufacturers to offer their customers alternative services in the first place.</w:t>
      </w:r>
    </w:p>
    <w:p>
      <w:r>
        <w:t>(50) It should also be considered in this regard that the bundling of services in GAS already significantly reduces the incentives for vehicle manufacturers to source third-party services because Google’s services contained in GAS cover essential functions of IVI systems. The contractual provisions on default settings relating to GAS and the prominent placement of GAS services further reduced the incentives for vehicles manufacturers to also install third-party services on their IVI systems in addition to GAS, even though this may generally be in their interest. Giving end users a greater choice of services in IVI systems equipped with the GAS Infotainment Platform can ultimately make their respective systems more attractive. This is particularly true when considering so-called concurrency solutions, where end users, for example by using different hotwords, can switch between different voice assistants that are pre-installed in an IVI system, allowing them to choose the service they deem most suitable for their individual use case.</w:t>
      </w:r>
    </w:p>
    <w:p>
      <w:r>
        <w:t>(51) Moreover, Google’s previous contractual provisions reducing the incentives for vehicle manufacturers to pre-install alternative services are similar to provisions on the exclusive pre-installation of services and thus have a proximity to the example set out in Section 19a(2) sentence 1 no 2a GWB.</w:t>
      </w:r>
    </w:p>
    <w:p>
      <w:r>
        <w:t>- 18 -</w:t>
        <w:br/>
        <w:t>(52) Upon preliminary assessment, due to its control over the technical conditions for access to the GAS Infotainment Platform, Google has an intermediation position in this regard. Upon the Decision Division’s preliminary assessment, the provisions in the GAS licensing agreements with vehicle manufacturers on default settings and the pre-installation of services assessed in this proceeding have the potential to increase the visibility and frequency of use of Google’s own services to the detriment of competing services. As a consequence, the freedom of Google’s competitors to compete is impaired since this user behaviour reduces the incentives for vehicle manufacturers to license other services in addition to Google’s services. Upon preliminary assessment, this also fulfils the criteria of the prohibition under Section 19a(2) sentence 1 no 1 GWB (favouring a company’s own offers over the offers of its competitors when mediating access to supply and sales markets).</w:t>
      </w:r>
    </w:p>
    <w:p>
      <w:r>
        <w:t>(53) Upon preliminary assessment, Google’s conduct was not objectively justified (for an explanation of the general criteria, see paras. 44 f. above). In particular, without Google’s contractual instructions on default settings and the prominent placement of services, it is easier for vehicle manufacturers to adapt their offering to customer needs and design their IV systems accordingly. Google’s contractual instructions are not necessary to achieve this. Against this background, the security concerns raised by Google are ultimately also not capable of justifying the use of such contractual provisions as vehicle manufacturers already have an intrinsic interest in taking into account security aspects when designing their IVI systems.</w:t>
      </w:r>
    </w:p>
    <w:p>
      <w:r>
        <w:t>(54) Upon the Decision Division’s preliminary assessment, there also is a risk of recurrence.</w:t>
      </w:r>
    </w:p>
    <w:p>
      <w:r>
        <w:t>4. Competition impeded due to a lack of interoperability</w:t>
      </w:r>
    </w:p>
    <w:p>
      <w:r>
        <w:t>(55) Lastly, upon preliminary assessment, Google has, at least in the past, refused the interoperability of its services with third-party services or makes it more difficult (Section 19a(2) sentence 1 no 5 GWB). It can be left open in this decision to what extent this is still the case today, which will be examined as part of enforcing the decision. Google holds that in the course of the proceeding it has established full interoperability through various</w:t>
      </w:r>
    </w:p>
    <w:p>
      <w:r>
        <w:rPr>
          <w:b/>
        </w:rPr>
        <w:t>[Pages 19–21]</w:t>
      </w:r>
    </w:p>
    <w:p>
      <w:r>
        <w:t>- 19 -</w:t>
      </w:r>
    </w:p>
    <w:p>
      <w:r>
        <w:t>(56) According to the legislative intent, the concepts of refusing interoperability or making it difficult are to be interpreted in a broad sense. The provision therefore covers not only technical restrictions. In principle, a variety of heterogeneous factors negatively affecting the interoperability or interaction of products could be considered, including technical, commercial or contractual requirements.</w:t>
      </w:r>
    </w:p>
    <w:p>
      <w:r>
        <w:t>(57) From a technical point of view, services in an IVI system are interoperable when the respective services have interfaces that are made available to third-party providers and have sufficient documentation. In general, interfaces are mechanisms which enable two independent services to communicate with each other using a number of definitions and protocols. Interfaces enable the bilateral exchange of data and the cross-use of data between two different applications by ensuring that data are exchangeable and compatible. From a commercial point of view, interoperability between several services requires that a possible fee for using an interface must not be unreasonably high. As to contractual provisions, it has to be ensured that the use of the interface is not unreasonably restricted or even prohibited.</w:t>
      </w:r>
    </w:p>
    <w:p>
      <w:r>
        <w:t>(58) Upon preliminary assessment, there has, at least in the past, been no or only restricted interoperability between GAS services and (similar) third-party services, while the GAS services are fully interoperable with each other. In particular, Google refused or impeded the interoperability between its Google Assistant voice assistant and services, such as map services, which in the context of IVI systems users must be able to control with voice assistants. Google did not provide the same interfaces for third-party services as it did for the interoperability of its own GAS services. Google also refused and impeded the interoperability between Google Assistant and other voice assistants. As a consequence, upon preliminary assessment, it was, at least in parts, not possible to implement concurrency solutions where multiple voice assistants are run simultaneously on an IVI system and can be activated in different ways (for example using hotwords or buttons).</w:t>
      </w:r>
    </w:p>
    <w:p>
      <w:r>
        <w:t>(59) Upon preliminary assessment, refusing or impeding interoperability in the way described above ultimately impeded competition. Google deviated from the mix-and-match approach for developing IVI systems which prevails in the market, where it is common practice to combine the services of different providers. However, this approach requires the services to be sufficiently interoperable as they would otherwise not function properly. Only in this way can voice assistants interact with, for example, third-party map services or be used simultaneously in an IVI system as part of a concurrency solution. By refusing or impeding interoperability, Google impaired vehicle manufacturers’ choice of services. Services which are not sufficiently interoperable with Google’s services will not be considered for combination with Google’s services in IVI systems, although, according to the Decision Division’s preliminary findings, vehicle manufacturers believe that it could be practical to mix and match Google’s services and third-party services in order to meet their customers’ expectations of IVI systems. Accordingly, Google’s conduct also restricted its competitors’ freedom to compete, as their services, if sufficient interoperability were ensured, could otherwise be part of IVI systems in which Google’s services are pre-installed. Upon the Decision Division’s preliminary assessment, in case the practices objected to upon preliminary assessment have been discontinued, there is, at least, a risk of recurrence.</w:t>
      </w:r>
    </w:p>
    <w:p>
      <w:r>
        <w:t>(60) The preliminary weighing of interests has shown that Google’s interests do not prevail over the other interests concerned.</w:t>
      </w:r>
    </w:p>
    <w:p>
      <w:r>
        <w:t>C. Discontinuation pursuant to Section 32b(1) GWB</w:t>
      </w:r>
    </w:p>
    <w:p>
      <w:r>
        <w:t>(61) Pursuant to Section 19a(2) sentence 4 GWB, the Decision Division was able to decide, in application of Section 32b(1) GWB and exercising its due discretion, to declare the commitments offered by the parties in their submission of 5 March 2025 and shown in the annex binding and to close the proceedings in accordance with Section 32b(1) sentence 2 GWB to the extent covered by the commitments.</w:t>
      </w:r>
    </w:p>
    <w:p>
      <w:r>
        <w:t>(62) In the Decision Division’s assessment, the commitments offered by Google are, to the extent of their scope, sufficiently capable of dispelling the concerns communicated upon preliminary assessment (see I. below). In the exercise of its due discretion, the Decision Division carried out an overall weighing of the circumstances that speak for and against discontinuing the proceedings in accordance with Section 32b(1) sentence 2 GWB (see para. II.). In accordance with Section 32b(1) sentence 3 GWB, the decision was to be limited in time to the duration of the commitments offered (see III. below).</w:t>
      </w:r>
    </w:p>
    <w:p>
      <w:r>
        <w:t>I. Commitments</w:t>
      </w:r>
    </w:p>
    <w:p>
      <w:r>
        <w:t>(63) In the Decision Division’s assessment, the commitments offered by Google are, to the extent of their scope, sufficiently capable of dispelling the concerns communicated to Google upon preliminary assessment.</w:t>
      </w:r>
    </w:p>
    <w:p>
      <w:r>
        <w:t>1. Details of the commitments</w:t>
      </w:r>
    </w:p>
    <w:p>
      <w:r>
        <w:t>(64) The commitments offered by Google stipulate the following (only the German text of the commitments included in the annex of the German version of this decision is binding):</w:t>
      </w:r>
    </w:p>
    <w:p>
      <w:r>
        <w:t>(65) In Commitment 1 (“Interoperability with GAS”), Google undertakes to create and provide the technical conditions to enable the Google Maps, Google Play and Google Assistant services contained in GAS, collectively referred to as the “GAS Software Components”, to interoperate with voice assistants, map services and app stores of third-party suppliers in IVI Systems in an equivalent way and to an equivalent extent as the GAS software components interoperate with each other and that they are thus fully interoperable with services of other suppliers. Google will make the necessary APIs, terms of service for the use of the APIs and the documentation required for the implementation available to vehicle manufacturers and their suppliers.</w:t>
      </w:r>
    </w:p>
    <w:p>
      <w:r>
        <w:t>(66) In Commitment 2 (“Standalone Version of GAS Software Components”), Google undertakes to, within nine months of the date upon which the commitments are declared binding, provide vehicle manufacturers with integration ready stand-alone versions of the GAS software components. The stand-alone versions offer functions that are equivalent to the corresponding GAS software components. The effort for integration into vehicles of the stand-alone versions corresponds to that of the corresponding GAS software components. The stand-alone versions must be interoperable with each other and with third-party services in an equivalent way and to an equivalent extent as the GAS software components are interoperable with each other. Google also undertakes not to unduly delay the development of the series production versions.</w:t>
      </w:r>
    </w:p>
    <w:p>
      <w:r>
        <w:rPr>
          <w:b/>
        </w:rPr>
        <w:t>[Pages 22–24]</w:t>
      </w:r>
    </w:p>
    <w:p>
      <w:r>
        <w:t>- 22 -</w:t>
        <w:br/>
        <w:t>(67) Based on Commitment 3 (“Termination rights”), Google will offer GAS license holders the ability to terminate their respective GAS licensing agreement in whole or in part.</w:t>
      </w:r>
    </w:p>
    <w:p>
      <w:r>
        <w:t>(68) Based on Commitment 4 (“No granting of economic advantages”), Google will not promise or grant vehicle manufacturers economic benefits (such as discounts or participation in advertising revenues) on the condition that services with comparable functions as the GAS components are not pre-installed in addition to GAS components and/or stand-alone versions in IVI systems.</w:t>
      </w:r>
    </w:p>
    <w:p>
      <w:r>
        <w:t>(69) Based on Commitment 5 (“Placement requirements and default settings”), Google will not require customers with whom licensing agreements regarding GAS or any of the stand-alone versions have been concluded to set GAS software components or the stand-alone versions as default or require specifications regarding a preferential placement of icons and texts visualising GAS software components or a stand-alone version. Google will notify in writing customers with a GAS licensing agreement in effect that the corresponding contractual obligations are no longer valid from Google’s point of view and will not be enforced.</w:t>
      </w:r>
    </w:p>
    <w:p>
      <w:r>
        <w:t>(70) To monitor Google’s compliance with its commitments, a monitoring trustee will be appointed.</w:t>
      </w:r>
    </w:p>
    <w:p>
      <w:r>
        <w:t>2. Assessment of the commitments</w:t>
      </w:r>
    </w:p>
    <w:p>
      <w:r>
        <w:t>(71) These commitments are capable of dispelling the concerns communicated to Google upon preliminary assessment.</w:t>
      </w:r>
    </w:p>
    <w:p>
      <w:r>
        <w:t>(72) The Bundeskartellamt’s concerns upon preliminary assessment against the bundling of Google Maps, Google Play and Google Assistant in GAS are dispelled by Commitment 2. The form of the stand-alone versions must correspond to an equivalent alternative to the GAS software components and enable vehicle manufacturers or suppliers acting on behalf of them to combine each the Google Maps, Google Play and Google Assistant service individually with third-party services in IVI systems. This will effectively eliminate the incentives created by Google’s bundling practice for vehicle manufacturers not to source other services with similar functions from competitors in addition to the GAS software components and the impediment resulting from those incentives of competitors whose freedom to compete on their services is restricted by Google’s bundling practice. Google also undertakes to ensure that the stand-alone versions are interoperable with each other and with third-party services in an equivalent way and to an equivalent extent as the GAS software components are interoperable with each other. This provides vehicle manufacturers with a scope for competitive action that they can use to develop IVI systems which are based on their customers’ needs by combining Google’s stand-alone versions with services of other suppliers. Based on Commitment 2, Google is required to offer integration ready stand-alone versions within nine months. In addition, the commitments provide for a milestone in the form of series production versions of the stand-alone versions. Developing the series production versions will depend on whether there is a corresponding demand from vehicle manufacturers. Google must not delay the development of the series production versions of the respective stand-alone version without good reason.</w:t>
      </w:r>
    </w:p>
    <w:p>
      <w:r>
        <w:t>(73) Commitment 4 eliminates the risk existing upon the Decision Division’s preliminary assessment that Google concludes agreements on a participation of vehicle manufacturers in Google’s advertising revenues (or any other form of economic incentives) on the condition that services with comparable functions as the GAS components are not pre-installed in addition to GAS components and/or stand-alone versions in IVI systems. As a result, it will not be possible for Google to impede competitors by means of such agreements. Instead, Google and Google’s competitors will compete on the merits when it comes to equipping IVI systems.</w:t>
      </w:r>
    </w:p>
    <w:p>
      <w:r>
        <w:t>(74) Commitment 5 effectively eliminates the risk existing upon the Decision Division’s preliminary assessment that Google will again impede its competitors’ and customers’ freedom to compete by concluding agreements on default settings and the prominent placement of services. Google will have to refrain from using such means to influence the behaviour of end users with a view to increasing the frequency of use of its own services to the detriment of alternative services. Accordingly, also in the future, vehicle manufacturers will have no corresponding incentives to refrain from installing alternative services in addition to the GAS software components or stand-alone versions.</w:t>
      </w:r>
    </w:p>
    <w:p>
      <w:r>
        <w:t>(75) Lastly, upon preliminary assessment, Commitment 1 is capable of effectively stopping the impediment to competition resulting from Google refusing or impeding the interoperability of the GAS software components with services of other providers, and it is capable of dispelling any concerns in this regard. Google is required to make the necessary APIs, the terms of service for the use of the APIs and the documentation required for the implementation available to vehicle manufacturers and their suppliers on a permanent basis. It is left open to what extent the measures Google has already taken in this regard in the course of the proceeding are sufficient for establishing interoperability. In any case, the appointment of a monitoring trustee, whose duties include the monitoring of the commitments regarding interoperability, ensures that Google will fully comply with this commitment. Establishing interoperability provides vehicle manufacturers with more scope when choosing and combining suitable services. At the same time, any restrictions on the freedom to compete of Google’s competitors are eliminated as their services can now also be combined with Google’s services and, at least when it comes to combining services in IVI systems, their sales opportunities are comparable to Google’s when competing on the merits.</w:t>
      </w:r>
    </w:p>
    <w:p>
      <w:r>
        <w:t>(76) Also with regard to their geographical scope, the commitments are capable of effectively terminating Google’s practices objected to upon preliminary assessment. The commitments apply to all IVI systems which are also currently deployed or are to be deployed in vehicles that are or may be registered in Germany. When developing IVI systems, vehicle manufacturers aim at ensuring that the IVI systems can be deployed across different countries, since providing different equipment according to the region or country of destination increases their costs. Separate solutions are only developed for compelling reasons, for example when particular services are not available online in certain regions or when particular services cannot be used in individual countries due to political or legal restrictions. Accordingly, suppliers offer IVI system components that can generally be deployed across different countries. In line with this common practice in the automotive sector, vehicle manufacturers can, based on the commitments aimed at eliminating the restrictions assessed in this proceeding, integrate Google’s services into IVI systems in vehicles which are generally intended for sale in several countries or regions and do not have to provide different solutions to any greater extent than before. With regard to the vehicles in which IVI systems are used, the commitments are linked to the registration of vehicles in Germany, which is based on European law and generally valid throughout the European Union.</w:t>
      </w:r>
    </w:p>
    <w:p>
      <w:r>
        <w:rPr>
          <w:b/>
        </w:rPr>
        <w:t>[Pages 25–27]</w:t>
      </w:r>
    </w:p>
    <w:p>
      <w:r>
        <w:t>- 25 -</w:t>
        <w:br/>
        <w:t>In line with this common practice for the development and deployment of IVI systems, the commitments also extend to all IVI systems which, as they have been developed as uniform systems, correspond to these IVI systems, without prejudice to possible minor deviations in the individual case. System images will serve as a clear criterion which is recognised throughout the industry.</w:t>
      </w:r>
    </w:p>
    <w:p>
      <w:r>
        <w:t>(77) The effectiveness of the commitments is ensured by an anti-circumvention provision (Commitment 8). Google undertakes not to propose any incentives to source the GAS software components bundled or one of the GAS stand-alone services with one or more of GAS stand-alone services or GAS through pricing (such as discounts) or promising and granting other economic benefits (such as participation in advertising revenues). Google will enter into contracts on a non-discriminatory basis on fair and reasonable terms for the stand-alone versions of the GAS software components also individually and any updates to these terms (if applicable) will as well be made on a non-discriminatory basis on fair and reasonable terms. Google will also not unduly delay the development of the series production versions of the respective stand-alone version.</w:t>
      </w:r>
    </w:p>
    <w:p>
      <w:r>
        <w:t>(78) Pursuant to 9., Commitments 1, 3, 4 and 5 will remain in force for eight years from the date the decision is issued. Commitment 2 (“Standalone Version of GAS Software Components”) will remain in force until there is a series production version or at least eight years, whichever is longer. The following exceptions apply: In case no licensing agreement or product evaluation agreement has been concluded within eight years, the commitment ceases to apply. In case a product evaluation agreement has been concluded within eight years, but a licensing agreement has not been concluded within ten years, the commitment also ceases to apply.</w:t>
      </w:r>
    </w:p>
    <w:p>
      <w:r>
        <w:t>II. Discretion</w:t>
      </w:r>
    </w:p>
    <w:p>
      <w:r>
        <w:t>(79) In exercising its due discretion, the Decision Division carried out an overall assessment of the circumstances which speak for and against discontinuing the proceeding pursuant to Section 32b GWB.</w:t>
      </w:r>
    </w:p>
    <w:p>
      <w:r>
        <w:t>(80) Despite the fact that the administrative proceeding was already well advanced, an argument in favour of discontinuing the proceeding was that the commitments, to the extent of their scope, appear sufficiently capable of dispelling the concerns communicated to Google upon preliminary assessment.</w:t>
      </w:r>
    </w:p>
    <w:p>
      <w:r>
        <w:t>- 26 -</w:t>
        <w:br/>
        <w:t>(81) Attention also had to be paid to avoiding a lengthy and complex court dispute, which could have had an adverse effect on the immediate enforcement and thus the real impact of a disputed prohibition decision. This outweighed the chances of clarifying in subsequent court proceedings fundamental questions concerning the application requirements of Section 19a(2) GWB which may be of significance for other cases.</w:t>
      </w:r>
    </w:p>
    <w:p>
      <w:r>
        <w:t>III. Time limit</w:t>
      </w:r>
    </w:p>
    <w:p>
      <w:r>
        <w:t>(82) In accordance with Section 32b(1) sentence 3 GWB, the decision had to be limited to the duration of the commitments. Accordingly, with regard to the commitments’ scope of application, the Bundeskartellamt may again take unrestricted action on the basis of Section 19a(2) sentence 1 GWB after their expiry. The validity of this decision is not dependent on whether a decision pursuant to Section 19a(1) GWB is effective during its duration, i.e., in particular, whether, during the duration of the commitments, the Decision Division extends its current final decision determining Google to be a norm addressee of Section 19a(1) GWB.</w:t>
      </w:r>
    </w:p>
    <w:p>
      <w:r>
        <w:t>D. Fees</w:t>
      </w:r>
    </w:p>
    <w:p>
      <w:r>
        <w:t>(83) The decision on fees is based on Section 62(1) sentence 2 no 2 GWB. Pursuant to Section 62(2) sentence 1 GWB, the amount of the fee is determined based on the personnel and material expenses incurred by the Bundeskartellamt and the economic significance of the subject matter of the act subject to fees. Pursuant to Section 62(2) sentence 2 no 2 GWB, the fee rates may not exceed 25,000 euros in the case of Section 32b(1) GWB. If the personnel and material expenses of the competition authority are unusually high in a particular case, taking into account the economic importance of the act subject to fees concerned, the fee may be increased up to twice its amount pursuant to Section 62(2) sentence 3 GWB. […]</w:t>
      </w:r>
    </w:p>
    <w:p>
      <w:r>
        <w:t>(84) The parties 1 and 2 are liable to pay this fee as joint debtors pursuant to Section 62(6) sentence 1 no 2 in conjunction with sentence 3.</w:t>
      </w:r>
    </w:p>
    <w:p>
      <w:r>
        <w:t>(85) The fee is due upon service of this decision and is to be transferred within one month of service of this decision to the following account: Beneficiary: Bundeskasse Trier IBAN: DE81 5900 0000 0059 0010 20</w:t>
      </w:r>
    </w:p>
    <w:p>
      <w:r>
        <w:t>- 27 -</w:t>
        <w:br/>
        <w:t>BIC: MARKDEF 1590 Bank: Deutsche Bundesbank, Filiale Saarbrücken</w:t>
      </w:r>
    </w:p>
    <w:p>
      <w:r>
        <w:t>(86) Please indicate the following cash reference number as the purpose of payment: […]</w:t>
      </w:r>
    </w:p>
    <w:p>
      <w:r>
        <w:t>(87) The payment cannot be processed without the cash reference number being specified.</w:t>
      </w:r>
    </w:p>
    <w:p>
      <w:r>
        <w:t>(88) If the fee is not paid within one month of the date of service, a late payment surcharge of one per cent of the amount in arrears will be charged for each month or part of a month in arrears. International transfers are usually subject to bank charges. In such cases, it must be ensured that the full fee is credited to the Bundeskartellamt’s account.</w:t>
      </w:r>
    </w:p>
    <w:p>
      <w:r>
        <w:t>(89) The expenses incurred by the required publication of this decision in the Federal Gazette (Section 61(3) sentence 1 GWB) will be charged separately (Section 62(1) sentence 3 GWB).</w:t>
      </w:r>
    </w:p>
    <w:p>
      <w:r>
        <w:rPr>
          <w:b/>
        </w:rPr>
        <w:t>[Pages 28–30]</w:t>
      </w:r>
    </w:p>
    <w:p>
      <w:r>
        <w:t>- 28 -</w:t>
        <w:br/>
        <w:t>E. Information on the right to appeal</w:t>
      </w:r>
    </w:p>
    <w:p>
      <w:r>
        <w:t>The decision is eligible for appeal. The appeal must be filed with the Bundeskartellamt, Bonn, within a period of one month beginning with the formal service of the decision. However, it is sufficient if it is received by the court of appeal, the Federal Court of Justice, Karlsruhe, within this period.</w:t>
      </w:r>
    </w:p>
    <w:p>
      <w:r>
        <w:t>The appeal must be substantiated. The statement of the grounds of appeal must be filed with the Bundeskartellamt or the court of appeal. The time limit for filing the statement of the grounds of appeal is two months. It begins upon receipt of the decision under appeal and may be extended, upon application by the presiding judge of the court of appeal. The statement of the grounds of appeal must contain a statement of the extent to which the decision is contested and its amendment or revocation is requested, and state the facts and evidence – including any new facts and evidence – on which the appeal is based.</w:t>
      </w:r>
    </w:p>
    <w:p>
      <w:r>
        <w:t xml:space="preserve">The parties must be represented by a lawyer for the filing and substantiation of the appeal.  </w:t>
        <w:br/>
        <w:t xml:space="preserve">Dr Krauß  </w:t>
        <w:br/>
        <w:t xml:space="preserve">Dr Locher  </w:t>
        <w:br/>
        <w:t>Dr Mehler</w:t>
      </w:r>
    </w:p>
    <w:p>
      <w:r>
        <w:t>- 29 -</w:t>
        <w:br/>
        <w:t xml:space="preserve">Contents  </w:t>
        <w:br/>
        <w:t xml:space="preserve">A. Facts of the case ............................................................................................. 3  </w:t>
        <w:br/>
        <w:t xml:space="preserve">I. Parties involved ................................................................................................. 3  </w:t>
        <w:br/>
        <w:t xml:space="preserve">II. GAS .................................................................................................................. 4  </w:t>
        <w:br/>
        <w:t xml:space="preserve">1. In-vehicle infotainment systems........................................................................................ 4  </w:t>
        <w:br/>
        <w:t xml:space="preserve">2. Google’s activities in the automotive sector ..................................................................... 5  </w:t>
        <w:br/>
        <w:t xml:space="preserve">3. Google’s agreements with vehicle manufacturers on the use of GAS in IVI systems...... 6  </w:t>
        <w:br/>
        <w:t xml:space="preserve">III. Course of the proceeding .................................................................................. 7  </w:t>
        <w:br/>
        <w:t xml:space="preserve">B. Preliminary legal assessment........................................................................ 10  </w:t>
        <w:br/>
        <w:t xml:space="preserve">I. Application not precluded by DMA .................................................................... 10  </w:t>
        <w:br/>
        <w:t xml:space="preserve">II. Application of Section 19a(2) sentence 1 GWB ................................................. 11  </w:t>
        <w:br/>
        <w:t xml:space="preserve">1. Bundling of services .......................................................................................................... 11  </w:t>
        <w:br/>
        <w:t xml:space="preserve">2. Granting vehicle manufacturers economic benefits on the condition that they refrain from installing other services with comparable functions ......................................................... 16  </w:t>
        <w:br/>
        <w:t xml:space="preserve">3. Default settings and prominent placement of services ..................................................... 17  </w:t>
        <w:br/>
        <w:t xml:space="preserve">4. Competition impeded due to a lack of interoperability ...................................................... 18  </w:t>
        <w:br/>
        <w:t xml:space="preserve">C. Discontinuation pursuant to Section 32b(1) GWB ....................................... 20  </w:t>
        <w:br/>
        <w:t xml:space="preserve">I. Commitments .................................................................................................... 21  </w:t>
        <w:br/>
        <w:t xml:space="preserve">1. Details of the commitments .............................................................................................. 21  </w:t>
        <w:br/>
        <w:t xml:space="preserve">2. Assessment of the commitments ...................................................................................... 22  </w:t>
        <w:br/>
        <w:t xml:space="preserve">II. Discretion .......................................................................................................... 25  </w:t>
        <w:br/>
        <w:t xml:space="preserve">III. Time limit .......................................................................................................... 26  </w:t>
        <w:br/>
        <w:t xml:space="preserve">D. Fees ................................................................................................................. 26  </w:t>
        <w:br/>
        <w:t>E. Information on the right to appeal ................................................................. 28</w:t>
      </w:r>
    </w:p>
    <w:p>
      <w:r>
        <w:t xml:space="preserve">Confidential  </w:t>
        <w:br/>
        <w:t xml:space="preserve">B7 - 25/22 - Submission of 5 March 2025 - Annex 1  </w:t>
        <w:br/>
        <w:t xml:space="preserve">Commitment Proposal pursuant to Section 32b GWB  </w:t>
        <w:br/>
        <w:t xml:space="preserve">In order to find an amicable solution in Case B7-25/22 regarding Google Automotive Services, Google offers the following Commitments to resolve the Bundeskartellamt's preliminary concerns under Section 19a(2) sentence 1 no. 1, 2, 3 and 5 GWB.  </w:t>
        <w:br/>
        <w:t>Nothing in these Commitments may be construed as implying that Google agrees with any preliminary views expressed by the Bundeskartellamt in its preliminary assessment notice dated 21 June, 2023, and 30 October, 2024, including on the application and scope of Section 19a GWB. The Commitments are without prejudice to Google's position should the Bundeskartellamt or any other party conduct proceedings or commence legal actions against Alphabet Inc. and affiliated companies in a matter covered by these Commitments.</w:t>
      </w:r>
    </w:p>
    <w:p>
      <w:r>
        <w:rPr>
          <w:b/>
        </w:rPr>
        <w:t>[Pages 31–33]</w:t>
      </w:r>
    </w:p>
    <w:p>
      <w:r>
        <w:t xml:space="preserve">Confidential  </w:t>
        <w:br/>
        <w:t xml:space="preserve">1  </w:t>
        <w:br/>
        <w:t>A. Definitions</w:t>
      </w:r>
    </w:p>
    <w:p>
      <w:r>
        <w:t xml:space="preserve">API means Application Programming Interface.  </w:t>
        <w:br/>
        <w:t xml:space="preserve">APK means Android package.  </w:t>
        <w:br/>
        <w:t xml:space="preserve">Confidential Information means information that Google discloses to the Monitoring Trustee and that is marked as confidential or would normally be considered confidential information under the circumstances.  </w:t>
        <w:br/>
        <w:t xml:space="preserve">EAP means Early Access Program. A program that gives developers early access to products, allowing deep engagement with them to gather feedback, before broadening the product's availability.  </w:t>
        <w:br/>
        <w:t xml:space="preserve">Effective Date means the date upon which the Commitments are declared binding by the Bundeskartellamt in a final decision.  </w:t>
        <w:br/>
        <w:t xml:space="preserve">GAS means the product offering Google Automotive Services, which includes Google Maps Built-in, Google Assistant Built-in and Google Play Built-in (as defined below). This product offering is currently only available for native in-car use on Android Automotive OS for IVI Systems. Nothing in these Commitments may be interpreted as implying that Google is obligated to offer this product offering for other operating systems for IVI Systems.  </w:t>
        <w:br/>
        <w:t xml:space="preserve">GAS Software Components means the following software components that are part of the GAS offering and which Google had not initially offered individually: Google Assistant Built-in (as defined below), Google Maps Built-in (as defined below) and Google Play Built-in (as defined below) respectively.  </w:t>
        <w:br/>
        <w:t xml:space="preserve">GLA means GAS licensing agreement.  </w:t>
        <w:br/>
        <w:t xml:space="preserve">GLA 2023 refers to the GAS licensing agreement that Google concluded with Dr. Ing. h.c.F. Porsche AG as of 1 November 2023.  </w:t>
        <w:br/>
        <w:t xml:space="preserve">Google means Alphabet Inc. and all its affiliated companies.  </w:t>
        <w:br/>
        <w:t xml:space="preserve">Google Assistant Built-in means a version of Google’s voice assistant software as integrated in GAS.  </w:t>
        <w:br/>
        <w:t xml:space="preserve">Google Maps Built-in means a version of Google Maps as integrated in GAS.  </w:t>
        <w:br/>
        <w:t xml:space="preserve">1  </w:t>
        <w:br/>
        <w:t xml:space="preserve">Terms in capital letters that are not defined in these commitments refer to the definitions used in the GLA 2023, attached as Annex 1.1.  </w:t>
        <w:br/>
        <w:t>2</w:t>
      </w:r>
    </w:p>
    <w:p>
      <w:r>
        <w:t xml:space="preserve">Confidential  </w:t>
        <w:br/>
        <w:t xml:space="preserve">Google Play Built-in means a version of Google's application store software as integrated in GAS (previously referred to as “Carsky”).  </w:t>
        <w:br/>
        <w:t xml:space="preserve">Help Centers means Google’s help pages for developers of applications.  </w:t>
        <w:br/>
        <w:t xml:space="preserve">Implementation Period means the periods in sections 1.2, 1.3, 1.5, 1.6, 2.3, 2.4, 3.1, 3.2, 5.2., 5.3  </w:t>
        <w:br/>
        <w:t xml:space="preserve">Integration Ready Version means a version that is ready for an OEM to begin integration for purposes of development, testing and providing initial feedback. The version may not be ready for commercial shipments in vehicles that will be distributed to or otherwise used by end users. Further iterations may be necessary, depending on the feedback from OEMs. Expectations include:  </w:t>
        <w:br/>
        <w:t xml:space="preserve">- Google has determined that the standalone offering is stable enough and ready for the OEM to integrate. Changes may still happen e.g. upon request of the OEM, but Google has high confidence that the form of the Standalone Versions is substantially stable.  </w:t>
        <w:br/>
        <w:t xml:space="preserve">- Enough data is flowing for an OEM to test an integration. There may be issues and/or gaps in the data flows (e.g. dummy data that approximates what could be expected in production is acceptable at this stage, as is limited geographic coverage).  </w:t>
        <w:br/>
        <w:t xml:space="preserve">- Preliminary documentation will be available to the OEM.  </w:t>
        <w:br/>
        <w:t xml:space="preserve">IVI System means In-Vehicle-Infotainment System.  </w:t>
        <w:br/>
        <w:t xml:space="preserve">OEM means original equipment manufacturer of series passenger cars.  </w:t>
        <w:br/>
        <w:t xml:space="preserve">Product Evaluation Agreement means any agreement between Google and an OEM, which sets forth the rights, obligations and restrictions between Google and the OEM prior to a definitive (e.g. licensing) agreement.  </w:t>
        <w:br/>
        <w:t xml:space="preserve">Standalone Version means a version of the GAS Software Components (as defined above) that can be licensed individually and without one of the other Standalone Versions of the GAS Software Components and that offers equivalent functions using the same APK and whose effort for integration into vehicles corresponds to that of the corresponding GAS Software Component.  </w:t>
        <w:br/>
        <w:t xml:space="preserve">Supplier means any contractor (which, for the sake of clarity, includes subcontractors and any entity that controls or is controlled by an OEM) other than Google, working with an OEM, provided the OEM either  </w:t>
        <w:br/>
        <w:t xml:space="preserve">a) licenses GAS or a Standalone Version, and has entered into a written agreement with such aforementioned contractor, which:  </w:t>
        <w:br/>
        <w:t xml:space="preserve">(i) contains terms, obligations, restrictions and requirements that are no less protective of Google than the terms, obligations, restrictions and requirements applicable to the OEM as set out in the respective GLA or Standalone Version licensing agreement; and  </w:t>
        <w:br/>
        <w:t xml:space="preserve">(ii) sublicenses the applicable license granted in the GLA or Standalone Version licensing agreement to the contractor solely for the benefit of the OEM for internal testing, evaluation, manufacturing and development purposes (i.e. no commercial distribution) with respect to the OEMs’ IVI System.  </w:t>
        <w:br/>
        <w:t xml:space="preserve">or  </w:t>
        <w:br/>
        <w:t xml:space="preserve">b) has entered into a Product Evaluation Agreement, and has entered into a written agreement with such aforementioned contractor, which:  </w:t>
        <w:br/>
        <w:t xml:space="preserve">(i) contains terms, obligations, restrictions and requirements that are no less protective of Google than the terms, obligations, restrictions and requirements applicable to the OEM as set out in the respective Product Evaluation Agreement; and  </w:t>
        <w:br/>
        <w:t xml:space="preserve">(ii) grants access to or a software copy of the Standalone Version solely for the purpose of evaluating the integration into the OEMs’ IVI System.  </w:t>
        <w:br/>
        <w:t xml:space="preserve">System Image is a binary snapshot of the IVI System software at a point in time. This includes the operating system, pre-installed applications (e.g. OEM applications, third-party applications, Google applications), the system user interface and necessary software settings. Each System Image has a unique identifier, usually in the form of (alpha-)numeric codes or strings.  </w:t>
        <w:br/>
        <w:t>4</w:t>
      </w:r>
    </w:p>
    <w:p>
      <w:r>
        <w:rPr>
          <w:b/>
        </w:rPr>
        <w:t>[Pages 34–36]</w:t>
      </w:r>
    </w:p>
    <w:p>
      <w:r>
        <w:t xml:space="preserve">Confidential  </w:t>
        <w:br/>
        <w:t>B. Commitments</w:t>
      </w:r>
    </w:p>
    <w:p>
      <w:r>
        <w:t xml:space="preserve">Commitment 1: Interoperability with GAS  </w:t>
        <w:br/>
        <w:t xml:space="preserve">1.1 Google will create and provide the technical conditions to enable the GAS Software Components to interoperate with voice assistants, map services and app stores of Suppliers in IVI Systems in an equivalent way and to an equivalent extent as the GAS software components interoperate with each other and thus ensure that they are fully interoperable with services of Suppliers.  </w:t>
        <w:br/>
        <w:t xml:space="preserve">1.2 Google will, within four months of the Effective Date, publish the documentation required for the implementation under 1.1.  </w:t>
        <w:br/>
        <w:t xml:space="preserve">1.3 Google will, within four months of the Effective Date, publish terms of service for the use of the APIs which are required for the implementation under 1.1.  </w:t>
        <w:br/>
        <w:t xml:space="preserve">1.4 In case Google carries out an EAP for future updates to the APIs required for the implementation of Commitment 1.1, OEMs and Suppliers, in particular automotive maps and navigation service providers, automotive voice assistant service providers, and automotive app store providers, are eligible to participate in the EAP. Google will publicize the EAP.  </w:t>
        <w:br/>
        <w:t xml:space="preserve">1.5 Google will, within five months of the Effective Date, update its Help Centers to provide comprehensive guidance for the implementation of services from Suppliers to interoperate with Google Maps Built-in, Google Play Built-in and Google Assistant Built-in in a central Automotive Help Center directory.  </w:t>
        <w:br/>
        <w:t>1.6 Google will, within six months of the Effective Date, make the APIs, the terms of service for the use of the APIs as well as the documentation which is required for the implementation under 1.1 available to OEMs and Suppliers and support OEMs or Suppliers working directly or indirectly with an OEM to develop the IVI System for the OEM in establishing interoperability as proposed under 1.1.</w:t>
      </w:r>
    </w:p>
    <w:p>
      <w:r>
        <w:t xml:space="preserve">Commitment 2: Standalone Version of GAS Software Components  </w:t>
        <w:br/>
        <w:t xml:space="preserve">2.1 Google will offer to license each of the Standalone Versions of the GAS Software Components individually and not necessarily with any of the other Standalone Versions to interested OEMs. Google will provide  </w:t>
        <w:br/>
        <w:t xml:space="preserve">a) OEMs that license a Standalone Version or have concluded a Product Evaluation Agreement, and  </w:t>
        <w:br/>
        <w:t xml:space="preserve">b) Suppliers working directly or indirectly with an OEM that licenses a Standalone Version or have concluded a Product Evaluation Agreement,  </w:t>
        <w:br/>
        <w:t xml:space="preserve">with all support reasonably required to integrate a Standalone Version into the OEMs’ IVI system as Google does for GAS.  </w:t>
        <w:br/>
        <w:t xml:space="preserve">2.2 The Standalone Versions must be interoperable with each other and with the services of Suppliers in an equivalent way and to an equivalent extent as the GAS Software Components are interoperable with each other.  </w:t>
        <w:br/>
        <w:t xml:space="preserve">2.3 Google will, within seven months of the Effective Date, provide a prototype version of the corresponding Standalone Versions of the GAS Software Components to run on emulators.  </w:t>
        <w:br/>
        <w:t xml:space="preserve">2.4 Google will, within nine months of the Effective Date, provide an Integration Ready Version of the corresponding Standalone Versions of the GAS Software Components.  </w:t>
        <w:br/>
        <w:t>2.5 Commitments 1.2, 1.3, 1.4, 1.5 and 1.6 shall apply mutatis mutandis to Commitment 2.2.</w:t>
      </w:r>
    </w:p>
    <w:p>
      <w:r>
        <w:t xml:space="preserve">Commitment 3: Termination rights  </w:t>
        <w:br/>
        <w:t xml:space="preserve">3.1 Within one month of the Effective Date, Google will offer all contract partners with whom a GLA has been concluded and who deploy or will deploy IVI Systems with GAS in series passenger cars falling under Section 6 below the ability to terminate their respective GLA in whole or in part with regard to certain vehicle models within a period that ends no earlier than three months after Google has fulfilled Commitment 2.4.  </w:t>
        <w:br/>
        <w:t>3.2 Google will provide the Bundeskartellamt with copies of the notices, which have been sent to OEMs to comply with Commitment 3.1 within two months of the Effective Date.</w:t>
      </w:r>
    </w:p>
    <w:p>
      <w:r>
        <w:t xml:space="preserve">Commitment 4: No granting of economic advantages  </w:t>
        <w:br/>
        <w:t>4. Google will not promise or grant OEMs economic benefits (such as discounts or participation in advertising revenues) on the condition that services with comparable functions as the GAS Software Components are not pre-installed in addition to GAS Software Components and/or Standalone Versions in IVI Systems.</w:t>
      </w:r>
    </w:p>
    <w:p>
      <w:r>
        <w:t xml:space="preserve">Commitment 5: Placement requirements and default settings  </w:t>
        <w:br/>
        <w:t xml:space="preserve">5.1 Google will not require customers with whom licensing agreements regarding GAS or any of the Standalone Versions (referenced in Commitment 2.1 above) are concluded to set GAS Software Components or the Standalone Versions (referenced in Commitment 2.1 above) as default or require specifications regarding a preferential placement of icons and texts visualizing GAS Software Components or a Standalone Version (referenced in Commitment 2.1 above). In particular, Google will not require the Default Application Screen to be placed at most one click away from the main screen and/or place the GAS Software Components or the respective Standalone Versions on the application overview during the initial installation of GAS or Standalone Versions and/or ensure that all other Google Applications are placed on the same level as the alternatives from Suppliers and/or place GAS Software Components or Standalone Versions as default applications.  </w:t>
        <w:br/>
        <w:t xml:space="preserve">5.2 Google will, within one month of the Effective Date, notify GAS customers in writing that the obligations to set GAS Software Components as default or require a preferential placement of icons and texts visualizing GAS Software Components in IVI systems (cf. Clause 4.7 (b) (c) (d) and (h) GLA 2023) are no longer valid from Google’s point of view and will not be enforced.  </w:t>
        <w:br/>
        <w:t>5.3 Google will provide the Bundeskartellamt with copies of the notices, which have been sent to OEMs to comply with Commitment 5.2 within two months of the Effective Date.</w:t>
      </w:r>
    </w:p>
    <w:p>
      <w:r>
        <w:t xml:space="preserve">Geographical scope  </w:t>
        <w:br/>
        <w:t>6. The Commitments 1 to 5 apply to IVI Systems that are also currently deployed or are to be deployed in series passenger cars that are or may be registered in Germany. The commitments also apply to IVI Systems that essentially correspond to those mentioned in sentence 1, regardless of where the IVI system is shipped. IVI Systems essentially correspond if they provide for a largely uniform user experience, do not require additional development and integration costs and are based on essentially similar hardware and software. For the sake of clarity, minor hardware module variations to accommodate regional differences, and minor software module variations to accommodate regional differences in language, map data and content as well as different middleware that represent the software under the IVI System do not render an IVI System not to be essentially corresponding to the aforementioned IVI System. In any case, IVI Systems are the same if the System Image is identical.</w:t>
      </w:r>
    </w:p>
    <w:p>
      <w:r>
        <w:t xml:space="preserve">Extension of implementation periods  </w:t>
        <w:br/>
        <w:t>7. Upon a substantiated request by Google, the Bundeskartellamt may extend the implementation periods in Commitments 1 to 5.</w:t>
      </w:r>
    </w:p>
    <w:p>
      <w:r>
        <w:t xml:space="preserve">Anti Circumvention Provision  </w:t>
        <w:br/>
        <w:t>8.1 Google must not circumvent or attempt to circumvent these Commitments either directly or indirectly by any act or omission.</w:t>
      </w:r>
    </w:p>
    <w:p>
      <w:r>
        <w:rPr>
          <w:b/>
        </w:rPr>
        <w:t>[Pages 37–39]</w:t>
      </w:r>
    </w:p>
    <w:p>
      <w:r>
        <w:t>Confidential</w:t>
      </w:r>
    </w:p>
    <w:p>
      <w:r>
        <w:t>8.2 Particularly, Google commits not to propose any incentives to source the GAS Software Components bundled or one of the GAS Standalone Services with one or more of GAS Standalone Services or GAS through pricing (such as discounts) or promising and granting other economic benefits (such as participation in advertising revenues). Google will also enter into contracts on a non-discriminatory basis on fair and reasonable terms for the Standalone Versions of the GAS Software Components also individually and any updates to these terms (if applicable) will as well be made on a non-discriminatory basis on fair and reasonable terms. Google will not unduly delay the development of the Series Production Versions of the respective Standalone Version.</w:t>
      </w:r>
    </w:p>
    <w:p>
      <w:r>
        <w:t>8.3 Updates, improvements, discontinuations or other regular product changes of GAS or the Standalone Versions do not constitute a circumvention of the Commitments, provided that they are carried out simultaneously and equally using the same APK.</w:t>
      </w:r>
    </w:p>
    <w:p>
      <w:r>
        <w:t>8.4 If Google offers GAS for other operating systems than Android Automotive OS, these Commitments shall apply mutatis mutandis.</w:t>
      </w:r>
    </w:p>
    <w:p>
      <w:r>
        <w:t>8.5 If Google offers GAS directly to parties other than OEMs, the Commitments 2.1-2.5 shall apply mutatis mutandis.</w:t>
      </w:r>
    </w:p>
    <w:p>
      <w:r>
        <w:t>Duration</w:t>
      </w:r>
    </w:p>
    <w:p>
      <w:r>
        <w:t>9.1 The Commitments 1., 3., 4., and 5. will remain in force for eight years from the Effective Date.</w:t>
      </w:r>
    </w:p>
    <w:p>
      <w:r>
        <w:t>9.2 For each Standalone Version, Commitment 2. will remain in force until the Date on which there is a Series Production Version of this Standalone Version, or alternatively, at least eight years from the Effective Date, whichever is longer. After this term, Google will, for the duration of the support period, as defined in the respective licensing agreement, which in case of an OEM licensing GAS is not shorter than its GLA support period, continue to provide the necessary support for IVI Systems on the market (including updates) in which GAS Software Components or Standalone Versions are pre-installed.</w:t>
      </w:r>
    </w:p>
    <w:p>
      <w:r>
        <w:t>9.3 By way of derogation from 9.2, the following duration applies to Commitment 2.:</w:t>
        <w:br/>
        <w:t>- In case no licensing agreement or Product Evaluation Agreement for the respective Standalone Version has been concluded within eight years from the Effective Date, Commitment 2. ceases to apply.</w:t>
        <w:br/>
        <w:t>- In case a Product Evaluation Agreement has been concluded within eight years from the Effective Date, but a licensing agreement has not been concluded within ten years from the Effective Date, Commitment 2. ceases to apply.</w:t>
      </w:r>
    </w:p>
    <w:p>
      <w:r>
        <w:t>Confidential</w:t>
      </w:r>
    </w:p>
    <w:p>
      <w:r>
        <w:t>9.4 Google is free to request the Bundeskartellamt to revoke or amend in whole or in part the decision by which these Commitments were declared binding or to release Google from individual commitments if the circumstances that were the basis for these commitments have changed significantly. Google acknowledges that Section 9.4 does not create a right to any such decision.</w:t>
      </w:r>
    </w:p>
    <w:p>
      <w:r>
        <w:t>Trustee</w:t>
      </w:r>
    </w:p>
    <w:p>
      <w:r>
        <w:t>10. In accordance with the rules set out in Annex 1.2, Google shall appoint a Monitoring Trustee to monitor Google’s compliance with these Commitments.</w:t>
      </w:r>
    </w:p>
    <w:p>
      <w:r>
        <w:t>Miscellaneous</w:t>
      </w:r>
    </w:p>
    <w:p>
      <w:r>
        <w:t>11. The Commitments do not prevent the Bundeskartellamt from conducting antitrust proceedings in relation to offers other than GAS Software Components or Standalone Versions.</w:t>
      </w:r>
    </w:p>
    <w:p>
      <w:r>
        <w:t>Confidential</w:t>
      </w:r>
    </w:p>
    <w:p>
      <w:r>
        <w:t>B7 - 25/22 - Submission of 5 March 2025 - Annex 1.1</w:t>
      </w:r>
    </w:p>
    <w:p>
      <w:r>
        <w:t>GLA 2023 Definitions</w:t>
      </w:r>
    </w:p>
    <w:p>
      <w:r>
        <w:t>Core Applications collectively mean Google Play Built-in, Google Maps Built-in and Google Assistant Built-in.</w:t>
      </w:r>
    </w:p>
    <w:p>
      <w:r>
        <w:t>Default Application Screen means the default location in the human-machine interface of a GAS Infotainment Platform prior to any changes made by End Users that lists and shows to End Users the applications available on the GAS Infotainment Platform. If additional applications may be viewed by scrolling, entering into folders, or otherwise navigating a hierarchy, Default Application Screen refers to the highest level in this hierarchy that an End User needs to first access in order to see the list of the available applications.</w:t>
      </w:r>
    </w:p>
    <w:p>
      <w:r>
        <w:t>Google Applications means the machine-readable binary code version of those Google applications, including the Core Applications and associated services listed in the Google Product Geo Availability Chart, and any modifications or updates to such applications. Google Applications exclude any Android Automotive OS Apps.</w:t>
      </w:r>
    </w:p>
    <w:p>
      <w:r>
        <w:t>Hotword means a voice-activated trigger that enables voice commands on the GAS Infotainment Platform, which can be provided by either Google (a “Google Hotword”), or a third party.</w:t>
      </w:r>
    </w:p>
    <w:p>
      <w:r>
        <w:rPr>
          <w:b/>
        </w:rPr>
        <w:t>[Pages 40–42]</w:t>
      </w:r>
    </w:p>
    <w:p>
      <w:r>
        <w:t xml:space="preserve">Confidential  </w:t>
        <w:br/>
        <w:t xml:space="preserve">B7 - 25/22 - Submission of 5 March - Annex 1.2  </w:t>
        <w:br/>
        <w:t>Monitoring Process</w:t>
      </w:r>
    </w:p>
    <w:p>
      <w:r>
        <w:t xml:space="preserve">1. Monitoring Trustee  </w:t>
        <w:br/>
        <w:t xml:space="preserve">1.1. Google shall appoint a Monitoring Trustee to monitor Google’s compliance with these Commitments immediately after the Effective Date at Google’s expense, for a period ending no earlier than six months after the Monitoring Trustee has submitted the reports pursuant to Section 3.1(b), 3.1(c) of this Annex 1.2, unless the Bundeskartellamt notifies Google within six months of the Trustee’s reports pursuant to 3.1 (b) or 3.1 (c) of this Annex 1.2 that Google has not or not fully complied with one of the Commitments. In this case, the period referred to in Sentence 1 shall end no earlier than six months after the Trustee’s further report on the implementation of the commitments pursuant to 3.1 (b), or 3.1 (c) of this Annex 1.2 unless the period pursuant to Sentence 1 ends later. In this case, the period ending later shall apply. An extension of the period pursuant to Sentence 2 is possible several times.  </w:t>
        <w:br/>
        <w:t xml:space="preserve">1.2. Each time, after the period specified in 1.1., OEMs or Suppliers submit a written complaint, setting out the relevant facts and, if available, attaching the relevant supporting evidence and documentation to the Bundeskartellamt that alleges that Google has not implemented Commitments 1 to 5 in accordance with the provisions set out therein, Google shall, at the request of the Bundeskartellamt, re-appoint the former Monitoring Trustee for a period reasonably necessary to provide an expert opinion on this matter, but no longer than six months.  </w:t>
        <w:br/>
        <w:t xml:space="preserve">1.3. The Monitoring Trustee shall be independent of Google and of any competitor or customer of Google in the market(s) concerned by the proceeding. The Monitoring Trustee will be remunerated by Google in a way that does not influence or impede the independent and effective fulfillment of its mandate.  </w:t>
        <w:br/>
        <w:t xml:space="preserve">1.4. The Monitoring Trustee should possess the qualifications, experience, and competence necessary to carry out its mandate, either in its own capacity or by the technical expert appointed pursuant to 1.6. below.  </w:t>
        <w:br/>
        <w:t xml:space="preserve">1.5. The Monitoring Trustee shall neither have nor become exposed to a conflict of interest during the Monitoring Trustee’s mandate. In particular, the Monitoring Trustee (including all of its employees) shall not provide services to, or become employed of, Google or one of Google’s competitors in the market(s) concerned by the proceeding neither during the Monitoring Trustee’s mandate nor for a period of one year following termination of the Monitoring Trustee’s mandate.  </w:t>
        <w:br/>
        <w:t xml:space="preserve">1.6. At the expense of Google, the Monitoring Trustee shall appoint a technical expert and may appoint other advisors, subject to Google’s and the Bundeskartellamt’s approval (this approval not to be unreasonably withheld or delayed) if the Monitoring Trustee considers the appointment of such advisors necessary or appropriate for the performance of its duties and obligations under the mandate, provided that any fees and other expenses incurred by the Monitoring Trustee are reasonable. The technical expert or advisor shall neither have nor become exposed to a conflict of interest. In particular, the technical expert or advisor (including all of its employees) shall not provide services to, or become an employee of, Google or one of Google’s competitors in the market(s) concerned by the proceeding neither during the Monitoring Trustee’s mandate nor for a period of one year following the termination of the Monitoring Trustee’s mandate. Should Google refuse to approve the technical expert and/or advisors proposed by the Monitoring Trustee, Google may propose an alternative expert and/or advisor within two weeks after the refusal to approve the technical expert and/or advisors proposed by the Monitoring Trustee. The Bundeskartellamt may reject Google’s alternative proposal and nominate the technical expert and/or advisor proposed by the Monitoring Trustee or another technical expert and/or advisors. The Bundeskartellamt may approve the appointment of this expert and/or advisors without Google’s approval, provided Google has been given the opportunity to comment on that proposal. Only the Monitoring Trustee shall be entitled to issue instructions to the technical expert and/or advisors.  </w:t>
        <w:br/>
        <w:t xml:space="preserve">1.7. The Monitoring Trustee shall assume its specified duties and obligations in order to ensure compliance with the Commitments. The Monitoring Trustee is bound by instructions from the Bundeskartellamt, but not from Google.  </w:t>
        <w:br/>
        <w:t>1.8. OEMs and Suppliers suspecting non-compliance with the Commitments may submit a written complaint to the Monitoring Trustee, setting out the relevant facts and, if available, attaching the relevant supporting evidence and documentation. Within one month of the selection pursuant to 2., Google, together with the Monitoring Trustee, will make available in an adequate and sufficiently prominent and durable manner the postal and digital contact details for any such submission.</w:t>
      </w:r>
    </w:p>
    <w:p>
      <w:r>
        <w:t xml:space="preserve">2. Selection of the Monitoring Trustee  </w:t>
        <w:br/>
        <w:t xml:space="preserve">2.1. If the Bundeskartellamt has not already approved a Monitoring Trustee proposed by Google, Google shall, within one month of the Effective Date, submit a list of at least two individuals to the Bundeskartellamt for approval as candidates for the appointment of the Monitoring Trustee. The proposal shall contain sufficient information for the Bundeskartellamt to verify that the proposed Monitoring Trustees fulfills the requirements set out in 1.4. above and shall include the full terms of the proposed mandate, which shall include all provisions necessary to enable the Monitoring Trustee to fulfill its duties under these Commitments and the outline of a plan which describes how the Monitoring Trustee intends to carry out its assigned tasks.  </w:t>
        <w:br/>
        <w:t xml:space="preserve">2.2. The Bundeskartellamt shall have the discretion to approve or reject the proposed Monitoring Trustees and to approve or reject the proposed mandate subject to any modifications it deems necessary for the Monitoring Trustee to fulfill its obligation.  </w:t>
        <w:br/>
        <w:t xml:space="preserve">2.3. The Bundeskartellamt shall give reasons in case of rejection of a proposed Monitoring Trustee and reasons in case of rejection of a proposed mandate. If just one person is approved, Google shall appoint or cause to be appointed, the individual concerned as Monitoring Trustee, in accordance with the mandate approved by the Bundeskartellamt, within one week of the Bundeskartellamt’s approval.  </w:t>
        <w:br/>
        <w:t xml:space="preserve">2.4. If more than one person is approved, Google can freely choose the Monitoring Trustee from the group of approved individuals. The Monitoring Trustee shall be appointed in accordance with the mandate approved by the Bundeskartellamt within three weeks of the Bundeskartellamt’s approval.  </w:t>
        <w:br/>
        <w:t xml:space="preserve">2.5. If all proposed Monitoring Trustees are rejected, Google shall submit the name of at least two more persons within one month of being informed of the rejection(s), in accordance with the requirements and the procedure set out in 1.4., 2.1 - 2.3 above.  </w:t>
        <w:br/>
        <w:t xml:space="preserve">2.6. If all further proposed Monitoring Trustees are rejected by the Bundeskartellamt, the Bundeskartellamt shall nominate a Monitoring Trustee, whom Google shall appoint, or cause to be appointed, within one month following the nomination, in accordance with a mandate approved by the Bundeskartellamt.  </w:t>
        <w:br/>
        <w:t xml:space="preserve">2.7. If the Monitoring Trustee ceases to perform its functions under these Commitments or for any good cause, including the exposure of the Monitoring Trustee to a conflict of interest, is unable to perform its functions under these Commitments:  </w:t>
        <w:br/>
        <w:t xml:space="preserve">(a) The Bundeskartellamt may, after hearing the Monitoring Trustee, require Google to replace the Monitoring Trustee; or  </w:t>
        <w:br/>
        <w:t xml:space="preserve">(b) Google, with the prior approval of the Bundeskartellamt, may replace the Monitoring Trustee.  </w:t>
        <w:br/>
        <w:t>2.8. If the Monitoring Trustee is removed, the Monitoring Trustee may be required to continue in its function until a new Monitoring Trustee is in place to whom the former Monitoring Trustee has effected a full hand-over of all relevant information and documentation.</w:t>
      </w:r>
    </w:p>
    <w:p>
      <w:r>
        <w:rPr>
          <w:b/>
        </w:rPr>
        <w:t>[Pages 43–45]</w:t>
      </w:r>
    </w:p>
    <w:p>
      <w:r>
        <w:t xml:space="preserve">Confidential  </w:t>
        <w:br/>
        <w:t>documents. The new Monitoring Trustee shall be appointed in accordance with the procedure referred to in 2.1 - 2.6 above.</w:t>
      </w:r>
    </w:p>
    <w:p>
      <w:r>
        <w:t xml:space="preserve">3. Duties and obligations of the Monitoring Trustee, technical experts and advisors  </w:t>
        <w:br/>
        <w:t xml:space="preserve">3.1. The Monitoring Trustee shall:  </w:t>
        <w:br/>
        <w:t xml:space="preserve">(a) monitor the execution of the Commitments by Google;  </w:t>
        <w:br/>
        <w:t xml:space="preserve">(b) Provide to the Bundeskartellamt, within nine months of the Effective Date and sending Google a non-confidential copy at the same time, a written report on Google’s compliance with Commitment 1 so that the Bundeskartellamt can assess whether Google is in compliance with Commitment 1. If the Bundeskartellamt informs Google that the obligations are not or not fully fulfilled by Google, the Monitoring Trustee will prepare a further report within three months of Google’s notification of full implementation. These reports should also cover an overview and copies of the complaints received under the complaint mechanism referred to in 1.8.  </w:t>
        <w:br/>
        <w:t xml:space="preserve">(c) Provide to the Bundeskartellamt, within twelve months of the Effective Date and sending Google a non-confidential copy at the same time, a written report on Google’s compliance with Commitment 2 and the Milestones 1 and 2 on the development and provision of Standalone Versions specified in Annex 1.3. Sentence 2 of 3.1 (b) of this Annex 1.2 applies accordingly. This report should also cover an overview and copies of the complaints received under the complaint mechanism referred to in 1.8.  </w:t>
        <w:br/>
        <w:t xml:space="preserve">(d) Provide to the Bundeskartellamt, within one week of such a request and sending Google a non-confidential copy at the same time, an opinion on whether a re-appointment pursuant to 1.2 is required.  </w:t>
        <w:br/>
        <w:t xml:space="preserve">(e) Propose to Google after consulting the Bundeskartellamt such measures as the Monitoring Trustee considers necessary to ensure Google’s compliance with the Commitments.  </w:t>
        <w:br/>
        <w:t xml:space="preserve">(f) Promptly report in writing to the Bundeskartellamt, sending Google a non-confidential copy at the same time, if it concludes on reasonable grounds that Google is failing to comply with the Commitments; and  </w:t>
        <w:br/>
        <w:t>(g) Reply to clarifying questions from the Bundeskartellamt regarding any report provided to the Bundeskartellamt pursuant to 3.1.</w:t>
      </w:r>
    </w:p>
    <w:p>
      <w:r>
        <w:t xml:space="preserve">3.2. The Monitoring Trustee, as well as any technical expert or advisor appointed pursuant to 1.6., shall not:  </w:t>
        <w:br/>
        <w:t xml:space="preserve">(a) participate in decisions or decision-making processes relating to technical, product design, or any other changes to Google’s business or negotiations with customers;  </w:t>
        <w:br/>
        <w:t xml:space="preserve">(b) have any decision-making power or powers of investigation of the kind vested in the Bundeskartellamt pursuant to Section. 32 et seqq., Sections. 54 et seqq. GWB;  </w:t>
        <w:br/>
        <w:t xml:space="preserve">(c) undertake any work not covered by its mandate; or  </w:t>
        <w:br/>
        <w:t>(d) disclose any Confidential Information from Google to any person, undertaking, or other body other than the Bundeskartellamt. Any Confidential Information obtained by the Monitoring Trustee in performance of the duties and obligations specified in these Commitments shall be kept in the strictest confidence and shall be used solely for the purpose of performing its duties and obligations specified in the Commitments. The Monitoring Trustee shall ensure that adequate safeguards are established and adhered to in collecting, taking delivery of, tracking the dissemination of, monitoring the use of, protecting against the disclosure of, and determining the safe disposal of Confidential Information. These safeguards shall be reviewed by Google within the time limit set by the Monitoring Trustee. Within this time limit, Google can make requests to improve the safeguards, which the Monitoring Trustee shall take into account to ensure the adequate level of protection of Confidential Information. These safeguards must be effective to protect the Confidential Information, but shall not be such as to prevent the Monitoring Trustee from effectively fulfilling its duties and obligations specified in these Commitments. In case of disagreement, the Bundeskartellamt will take a decision as regards the necessary safeguards. The Monitoring Trustee shall not make any public statements relating to the performance of its functions in relation with these Commitments, or the Confidential Information it has obtained in the context of the performance of its functions in relation with these Commitments. The Monitoring Trustee shall sign confidentiality undertakings addressed to the Bundeskartellamt warranting its knowledge of and compliance with its duties and obligations specified in these Commitments. The Monitoring Trustee shall abide by the obligations of non-disclosure imposed in Sections 56 (4), 70 (2) GWB with regard to any information acquired in its performance of its functions in relation with these Commitments or from the Bundeskartellamt, even after the term of its mandate. Upon expiration of the Monitoring Trustee's mandate and provided there are no pending issues regarding Google’s compliance with the Commitments, any Confidential Information held by the Monitoring Trustee (or any of its employees) or a technical expert and other advisors appointed by the Monitoring Trustee shall be destroyed by the Monitoring Trustee, a technical expert and other advisors appointed by the Monitoring Trustee and confirmed to Google in writing within two weeks.</w:t>
      </w:r>
    </w:p>
    <w:p>
      <w:r>
        <w:t xml:space="preserve">4. Duties and obligations of Google  </w:t>
        <w:br/>
        <w:t xml:space="preserve">4.1. Google shall provide and shall cause any contract employees to provide the Monitoring Trustee with all co-operation, assistance, and information that is necessary to monitor Google’s compliance with its duties pursuant to these Commitments. On the basis of a process, which shall be agreed by Google and the Monitoring Trustee before the approval of the Monitoring Trustee by the Bundeskartellamt, to avoid disproportionate business disruption, the Monitoring Trustee shall only have access to the Google information necessary for fulfilling its duties under 3.1. In case of disagreement, the Bundeskartellamt will take a decision as regards the process within two weeks.  </w:t>
        <w:br/>
        <w:t>4.2. Google agrees that the Bundeskartellamt may share confidential information proprietary to Google with the Monitoring Trustee, provided such sharing of information is necessary to monitor Google’s compliance with its obligations under these Commitments.</w:t>
      </w:r>
    </w:p>
    <w:p>
      <w:r>
        <w:t xml:space="preserve">5. Liability  </w:t>
        <w:br/>
        <w:t>The Bundeskartellamt is not liable for any damages caused by the Monitoring Trustee or one of its employees.</w:t>
      </w:r>
    </w:p>
    <w:p>
      <w:r>
        <w:rPr>
          <w:b/>
        </w:rPr>
        <w:t>[Pages 46–47]</w:t>
      </w:r>
    </w:p>
    <w:p>
      <w:r>
        <w:t xml:space="preserve">Confidential  </w:t>
        <w:br/>
        <w:t>B7 - 25/22 - Submission of 5 March - Annex 1.3</w:t>
      </w:r>
    </w:p>
    <w:p>
      <w:r>
        <w:t>Milestones on the development and provision of Standalone Versions</w:t>
      </w:r>
    </w:p>
    <w:p>
      <w:r>
        <w:t xml:space="preserve">Milestone 1: Prototype version  </w:t>
        <w:br/>
        <w:t xml:space="preserve">Due Date: Seven months from the Effective Date.  </w:t>
        <w:br/>
        <w:t xml:space="preserve">Prototype versions of the Standalone Versions are ready for OEMs to evaluate using reference emulators and provide early feedback. Expectations include:  </w:t>
        <w:br/>
        <w:t xml:space="preserve">- Google provides Standalone Version APKs that can run on reference emulators with limited documentation.  </w:t>
        <w:br/>
        <w:t>- Google provides reference emulators with integrated Standalone Version APKs.</w:t>
      </w:r>
    </w:p>
    <w:p>
      <w:r>
        <w:t xml:space="preserve">Milestone 2: Integration Ready Version  </w:t>
        <w:br/>
        <w:t xml:space="preserve">Due Date: Nine months from the Effective Date.  </w:t>
        <w:br/>
        <w:t xml:space="preserve">The Standalone Versions are ready for OEMs to begin integration into the vehicle for purposes of development, testing, and providing initial feedback. The Standalone Versions may not be used for integration in vehicles that can be distributed or otherwise used by end users, and significant quality issues may remain. Expectations include:  </w:t>
        <w:br/>
        <w:t xml:space="preserve">- Google has determined that the Standalone Version APKs are stable enough and ready for the OEM to integrate these for testing purposes. Changes to APKs may still happen, e.g. upon request of the OEM, but Google has high confidence that the form of the Standalone Version APKs is substantially stable for testing.  </w:t>
        <w:br/>
        <w:t xml:space="preserve">- Preliminary documentation will be available to the OEM in order to do the integration and testing.  </w:t>
        <w:br/>
        <w:t>- Enough data is flowing for an OEM to test an integration. There may be issues and/or gaps in the data flows (e.g. dummy data that approximates what could be expected in production is acceptable at this stage, as is limited geographical coverage).</w:t>
      </w:r>
    </w:p>
    <w:p>
      <w:r>
        <w:t xml:space="preserve">Confidential  </w:t>
        <w:br/>
        <w:t xml:space="preserve">Milestone 3: Series Production Version  </w:t>
        <w:br/>
        <w:t xml:space="preserve">The Standalone Version has been integrated into and contained within a series passenger car offered for sale to the general public, the timing of this depending on the respective OEM’s vehicle production schedule, which might be adapted from time to time at the discretion of the OEM.  </w:t>
        <w:br/>
        <w: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