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https://www.bundeskartellamt.de/SharedDocs/Entscheidung/EN/Entscheidungen/Missbrauchsaufsicht/2025/B7-25-22_GMP.pdf?__blob=publicationFile&amp;v=4</w:t>
      </w:r>
    </w:p>
    <w:p>
      <w:r>
        <w:t>Pages translated : 28</w:t>
      </w:r>
    </w:p>
    <w:p/>
    <w:p>
      <w:r>
        <w:rPr>
          <w:b/>
        </w:rPr>
        <w:t>[Pages 1–3]</w:t>
      </w:r>
    </w:p>
    <w:p>
      <w:r>
        <w:t xml:space="preserve">Convenience translation – only the German version is authentic  </w:t>
        <w:br/>
        <w:t xml:space="preserve">7th Decision Division  </w:t>
        <w:br/>
        <w:t xml:space="preserve">B7-25/22-GMP  </w:t>
        <w:br/>
        <w:t xml:space="preserve">Decision pursuant to  </w:t>
        <w:br/>
        <w:t xml:space="preserve">Section 19a(2) sentence 4 in conjunction with  </w:t>
        <w:br/>
        <w:t xml:space="preserve">Section 32b(1) GWB  </w:t>
        <w:br/>
        <w:t xml:space="preserve">- Public version -  </w:t>
        <w:br/>
        <w:t xml:space="preserve">Decision  </w:t>
        <w:br/>
        <w:t xml:space="preserve">In the administrative proceeding  </w:t>
        <w:br/>
        <w:t xml:space="preserve">1. Alphabet Inc.  </w:t>
        <w:br/>
        <w:t xml:space="preserve">1600 Amphitheatre Parkway  </w:t>
        <w:br/>
        <w:t xml:space="preserve">Mountain View, CA 94043  </w:t>
        <w:br/>
        <w:t xml:space="preserve">USA  </w:t>
        <w:br/>
        <w:t xml:space="preserve">2. Google Germany GmbH  </w:t>
        <w:br/>
        <w:t xml:space="preserve">ABC-Straße 19  </w:t>
        <w:br/>
        <w:t xml:space="preserve">20354 Hamburg  </w:t>
        <w:br/>
        <w:t xml:space="preserve">– Parties 1 and 2 –  </w:t>
        <w:br/>
        <w:t xml:space="preserve">Legal representatives of the parties 1 and 2:  </w:t>
        <w:br/>
        <w:t xml:space="preserve">Dr. Malte Frank, Dr. Sarah Milde, Dr. Lukas Kleeberger  </w:t>
        <w:br/>
        <w:t xml:space="preserve">Hengeler Mueller  </w:t>
        <w:br/>
        <w:t xml:space="preserve">Leopoldstraße 8  </w:t>
        <w:br/>
        <w:t xml:space="preserve">80802 Munich  </w:t>
        <w:br/>
        <w:t xml:space="preserve">Dr. Tobias Pukropski  </w:t>
        <w:br/>
        <w:t xml:space="preserve">Rocan Rechtsanwälte PartG mbB  </w:t>
        <w:br/>
        <w:t xml:space="preserve">Louise-Dumont-Str. 5  </w:t>
        <w:br/>
        <w:t xml:space="preserve">40211 Düsseldorf  </w:t>
        <w:br/>
        <w:t xml:space="preserve">3. TomTom N.V.  </w:t>
        <w:br/>
        <w:t xml:space="preserve">De Ruijterkade 154  </w:t>
        <w:br/>
        <w:t xml:space="preserve">1011 AC Amsterdam/Netherlands  </w:t>
        <w:br/>
        <w:t xml:space="preserve">– Third parties admitted to  </w:t>
        <w:br/>
        <w:t xml:space="preserve">the proceeding under 1. –  </w:t>
        <w:br/>
        <w:t xml:space="preserve">Legal representatives of the third parties admitted to the proceeding under 1.:  </w:t>
        <w:br/>
        <w:t xml:space="preserve">Dr. Moritz Holm-Hadulla  </w:t>
        <w:br/>
        <w:t xml:space="preserve">Gleiss Lutz  </w:t>
        <w:br/>
        <w:t xml:space="preserve">Karl-Scharnagl-Ring 6  </w:t>
        <w:br/>
        <w:t>80539 Munich</w:t>
      </w:r>
    </w:p>
    <w:p>
      <w:r>
        <w:t xml:space="preserve">- 2 -  </w:t>
        <w:br/>
        <w:t xml:space="preserve">4. Cerence Inc.  </w:t>
        <w:br/>
        <w:t xml:space="preserve">1, Burlington Woods Drive, Suite 301A  </w:t>
        <w:br/>
        <w:t xml:space="preserve">Burlington  </w:t>
        <w:br/>
        <w:t xml:space="preserve">Massachusetts/USA  </w:t>
        <w:br/>
        <w:t xml:space="preserve">– Third parties admitted to  </w:t>
        <w:br/>
        <w:t xml:space="preserve">the proceeding under 2. –  </w:t>
        <w:br/>
        <w:t xml:space="preserve">Legal representatives of the third parties admitted to the proceeding under 2.:  </w:t>
        <w:br/>
        <w:t xml:space="preserve">Clemens Graf York von Wartenburg  </w:t>
        <w:br/>
        <w:t xml:space="preserve">Dechert LLP  </w:t>
        <w:br/>
        <w:t xml:space="preserve">Avenue Louise 480, Box 13A  </w:t>
        <w:br/>
        <w:t xml:space="preserve">1050 Brussels  </w:t>
        <w:br/>
        <w:t xml:space="preserve">Belgium  </w:t>
        <w:br/>
        <w:t xml:space="preserve">for the examination of possible infringements of Section 19a(2) sentence 1 no. 3b, 5 of the  </w:t>
        <w:br/>
        <w:t xml:space="preserve">German Competition Act (GWB) through contractual restrictions of the interoperability of the  </w:t>
        <w:br/>
        <w:t xml:space="preserve">Google Maps Platform by the parties 1 and 2, the 7th Decision Division of the Bundeskartellamt  </w:t>
        <w:br/>
        <w:t xml:space="preserve">decided on 9 April 2025:  </w:t>
        <w:br/>
        <w:t xml:space="preserve">1. The commitments which were offered by the parties 1 and 2 in the submission dated  </w:t>
        <w:br/>
        <w:t xml:space="preserve">5 March 2025 and which are included in the annex of this decision are binding.  </w:t>
        <w:br/>
        <w:t xml:space="preserve">2. Pursuant to Section 19a(2) sentence 4 in conjunction with Section 32b(1) sentence 2  </w:t>
        <w:br/>
        <w:t xml:space="preserve">GWB the proceeding is closed to the extent covered by the commitments.  </w:t>
        <w:br/>
        <w:t xml:space="preserve">3. This decision is limited in time pursuant to paragraph 6.1 of the commitments.  </w:t>
        <w:br/>
        <w:t xml:space="preserve">4. The fee for the proceeding and this decision amounts to €[…] (in words: […] euros) and  </w:t>
        <w:br/>
        <w:t xml:space="preserve">is payable by the parties 1 and 2 as joint debtors.  </w:t>
        <w:br/>
        <w:t xml:space="preserve">1 Gesetz gegen Wettbewerbsbeschränkungen – GWB as published on 26 June 2013 (Federal Law  </w:t>
        <w:br/>
        <w:t xml:space="preserve">Gazette I 2013, pp. 1750, 3245), last amended by Article 6 of the law of 5 December 2024 (Federal  </w:t>
        <w:br/>
        <w:t>Law Gazette 2024 I no 400) – GWB.</w:t>
      </w:r>
    </w:p>
    <w:p>
      <w:r>
        <w:t xml:space="preserve">- 3 -  </w:t>
        <w:br/>
        <w:t xml:space="preserve">Reasons  </w:t>
        <w:br/>
        <w:t xml:space="preserve">A. Facts of the case  </w:t>
        <w:br/>
        <w:t xml:space="preserve">I. Parties involved  </w:t>
        <w:br/>
        <w:t xml:space="preserve">(1) Alphabet Inc. is a publicly listed holding company based in Mountain View (USA), which  </w:t>
        <w:br/>
        <w:t xml:space="preserve">was founded in 2015 to restructure the then-existing Google Group. Alphabet’s subsidiaries  </w:t>
        <w:br/>
        <w:t xml:space="preserve">are active in various technology sectors. As part of the restructuring, Google Inc. was also  </w:t>
        <w:br/>
        <w:t xml:space="preserve">integrated into Alphabet Inc. On 1 September 2017, Google Inc. was reorganised into  </w:t>
        <w:br/>
        <w:t xml:space="preserve">Google LLC. In Germany, Google is represented by Google LLC through its subsidiary  </w:t>
        <w:br/>
        <w:t xml:space="preserve">Google Germany GmbH, Hamburg. In the following, the parties 1 and 2 and their affiliated  </w:t>
        <w:br/>
        <w:t xml:space="preserve">companies within the meaning of Section 36(2) GWB are referred to as “Google”.  </w:t>
        <w:br/>
        <w:t xml:space="preserve">(2) Google is a multi-national group of companies which, in particular, offers a large number  </w:t>
        <w:br/>
        <w:t xml:space="preserve">of internet services and software products. The products and services offered by Google  </w:t>
        <w:br/>
        <w:t xml:space="preserve">include Android, Android Auto, Android Automotive Operating System, Android TV,  </w:t>
        <w:br/>
        <w:t xml:space="preserve">Chrome, Gmail, Google Assistant, Google Automotive Services, Google Calendar, Google  </w:t>
        <w:br/>
        <w:t xml:space="preserve">Drive, Google News, Google Photos, Google Play, Google Search, Google Wallet,  </w:t>
        <w:br/>
        <w:t xml:space="preserve">YouTube and hardware (Pixel smartphone, Chromecast, Google TV and Google Nest Hub)  </w:t>
        <w:br/>
        <w:t xml:space="preserve">as well as several map services such as the end customer product Google Maps and the  </w:t>
        <w:br/>
        <w:t xml:space="preserve">B2B offering Google Maps Platform (“GMP”) relevant here. A comprehensive overview of  </w:t>
        <w:br/>
        <w:t xml:space="preserve">Google’s business areas is included in the Bundeskartellamt’s decision of 30 December  </w:t>
        <w:br/>
        <w:t xml:space="preserve">2021 in the B7-61/21 case, to which reference is made in this respect.  </w:t>
        <w:br/>
        <w:t xml:space="preserve">(3) TomTom N.V. (in the following: “TomTom”) is a public limited liability company incorporated  </w:t>
        <w:br/>
        <w:t xml:space="preserve">under Dutch law based in Amsterdam and listed on Euronext Amsterdam in the Netherlands. It offers navigation and maps content, software and services. Founded in 1991 as a  </w:t>
        <w:br/>
        <w:t xml:space="preserve">start-up based in the Netherlands, it today has offices in 30 countries.  </w:t>
        <w:br/>
        <w:t xml:space="preserve">(4) Cerence Inc. (in the following: “Cerence”) based in Burlington (Massachusetts, USA) offers  </w:t>
        <w:br/>
        <w:t xml:space="preserve">voice-based AI solutions for the automotive industry.  </w:t>
        <w:br/>
        <w:t>2 See Bundeskartellamt, decision of 30 December 2021, B7-61/21, Google, paras. 5 ff.</w:t>
      </w:r>
    </w:p>
    <w:p>
      <w:r>
        <w:rPr>
          <w:b/>
        </w:rPr>
        <w:t>[Pages 4–6]</w:t>
      </w:r>
    </w:p>
    <w:p>
      <w:r>
        <w:t>- 4 -</w:t>
        <w:br/>
        <w:t>II. GMP map services and third-party map services</w:t>
        <w:br/>
        <w:t>(5) With its Google Maps Platform (hereinafter: “GMP”), Google offers access to a range of different map services through interfaces (APIs) or software development kits (SDKs). In the following, the term “map services” covers different styles in which the maps themselves are displayed, map-related functions such as route guidance, and map-related content such as points of interest displayed on a map. Developers can use these services by integrating the APIs or SDKs in their applications (see 1.).</w:t>
        <w:br/>
        <w:t>(6) Apart from Google, there are several other providers which also offer a range of B2B map services, for example HERE, Mapbox, and TomTom. OpenStreetMap also provides maps (see 2.).</w:t>
        <w:br/>
        <w:t>(7) There are numerous use cases in which there is a demand to integrate map services from different providers into a specific application, in particular by combining GMP map services with map services offered by competitors (see 3.).</w:t>
        <w:br/>
        <w:t>(8) Google has so far restricted the combined use of GMP map services and third-party map services, for example services offered by its competitors, by including several contractual provisions in its Terms of Service (ToS) (see 4.).</w:t>
        <w:br/>
        <w:t>1. Google Maps Platform (GMP)</w:t>
        <w:br/>
        <w:t>(9) Via GMP, Google offers a range of map services which are used by more than 10 million websites and mobile applications worldwide. This includes, for example, apps used by delivery and taxi services for route calculation, or websites operated by retailers where users can search for the nearest store.</w:t>
        <w:br/>
        <w:t>(10) Google uses four categories to structure its general GMP offering. The “Maps” category offers different map views. Apart from the traditional 2D view modes, this also includes several 3D views as well as Street View. The “Routes” category offers several different services for route guidance, for example the option to find routes for different means of transport taking into account the current traffic situation. The “Places” category includes services enabling users to find specific addresses and points of interest (PoIs) and obtain information on them. For example, users can search for a restaurant “nearby” and obtain further information on the restaurants displayed, such as reviews and opening hours. With its most recent “Environment” category, Google gives users access to information on air quality, pollen levels, and whether a particular site is suitable for solar panel installation. Apart from these services, GMP includes services which specifically address mobility service providers such as on-demand driver or delivery services.</w:t>
        <w:br/>
        <w:t>(11) Some of the content on which the GMP services are based is created by Google, other parts are obtained from third parties with whom Google concluded licensing agreements or are made available to Google by users.</w:t>
        <w:br/>
        <w:t>(12) Access to the services is either provided directly via APIs or via SDKs. APIs provide the code enabling two software programs to communicate with each other. They define the correct approach for developers wishing to access the data provided by a service. SDKs are software development kits which can be integrated into an application. The SDKs offered by Google on GMP contain APIs which provide an interface to the GMP services required for the application. The disclosure and documentation of the APIs ensures that the GMP services are interoperable with third-party services.</w:t>
        <w:br/>
        <w:t>(13) When users use a developer’s application which allows access to GMP services, the users’ activities can lead to requests being submitted to the relevant GMP service. For the use of GMP services, Google charges GMP licensees based on the number of requests submitted to the services. For example, 1000 requests via the Dynamic Maps API currently cost US$7.</w:t>
        <w:br/>
        <w:t>2. Other map service providers</w:t>
        <w:br/>
        <w:t>(14) Apart from Google, several other companies also offer a range of map services via a platform similar to the GMP. Developers can integrate these services into applications with a geographical focus; they are thus in competition with Google’s GMP.</w:t>
        <w:br/>
        <w:t>(15) HERE is a company which originally belonged to Nokia and developed the map services for Nokia mobile phones. After Nokia had sold its mobile phone business, HERE was acquired by three large German automotive companies in 2015, which today still own significant shares in the company. HERE offers map services for in-vehicle infotainment systems, but also services for other geo applications.</w:t>
        <w:br/>
        <w:t>(16) Mapbox is a USA-based provider of map services founded in 2010 which offers a platform with a wide range of map services for many economic sectors.</w:t>
        <w:br/>
        <w:t>(17) TomTom is a Netherlands-based provider of map services. The company used to be the market leader for portable navigation devices (PNDs) which many drivers used for in-vehicle route guidance before in-vehicle infotainment systems became widely used. TomTom is active in all economic sectors, with a special focus on the automotive industry.</w:t>
        <w:br/>
        <w:t>(18) OpenStreetMap, as a kind of Wikipedia for maps, assumes a special role. Volunteers create free-to-use geodata by collecting and structuring geo information and making it available for general use in a database. There is a very large OpenStreetMap community in the German-speaking area, and its maps are similar in quality to those of commercial map providers. Many free-to-use and commercial map applications use maps provided by OpenStreetMap. Apart from its free-to-use display of 2D maps, OpenStreetMap does not offer any other map services. OpenStreetMap’s geo information is used by a large number of developers to offer their commercial map services.</w:t>
        <w:br/>
        <w:t>3. Demand for combined use</w:t>
        <w:br/>
        <w:t>(19) Many developers of applications which integrate map services via an API or an SDK use the services of only one provider. This applies in particular to basic applications such as store locators on a retailer’s website.</w:t>
        <w:br/>
        <w:t>(20) However, there are also more complex applications. These include applications for the logistics sector which not only calculate the (optimal) route by taking into account a large number of factors, but also offer other map-related functionalities. Vehicle manufacturers offering drivers an in-vehicle infotainment system not only aim to calculate and display routes to the drivers’ specified destinations but also to petrol stations/charging stations and</w:t>
      </w:r>
    </w:p>
    <w:p>
      <w:r>
        <w:rPr>
          <w:b/>
        </w:rPr>
        <w:t>[Pages 7–9]</w:t>
      </w:r>
    </w:p>
    <w:p>
      <w:r>
        <w:t>- 7 -</w:t>
        <w:br/>
        <w:t xml:space="preserve">places to stop for refreshments along the route or parking areas in the vicinity of the destination. Some hiking, cycling, or fitness apps offer various different maps and combine these with a number of map-related and non-map-related functionalities from different providers.  </w:t>
        <w:br/>
        <w:t xml:space="preserve">(21) With an increasing number of functionalities offered by an application, there is usually increasing demand to use not only map services from one single provider, but a combination of map services from several providers. In particular, there is a demand to use both GMP services and third-party map services in applications.  </w:t>
        <w:br/>
        <w:t xml:space="preserve">(22) As the product ranges of the various providers are heterogeneous, the most suitable map service for a specific functionality within an application may be offered by different providers in each individual case. This obviously occurs if certain map services are exclusively offered by only one provider, or if the provider’s services are of such superior quality that they cannot be substituted by another provider’s map services. This applies to some of the GMP services. In the “Places” category, Google offers different search options for PoIs and can provide a wide range of topical information on these PoIs. In this respect, the quality of Google Search is clearly superior to that offered by competitors. The breadth and, above all, the timeliness of Google’s information on PoIs is also unique. In any case, with regard to the search function and the PoIs, many developers consider that the GMP services cannot be substituted by those of Google’s competitors. The same applies to some extent to real-time traffic information, for example, which is relevant for planning the optimal route to a specific destination. Google obtains these data from the millions of users of Google’s services who share their location data with Google.  </w:t>
        <w:br/>
        <w:t xml:space="preserve">(23) Based on Google’s superiority with regard to its Search and PoIs, there is, in particular, a demand to combine third-party maps and third-party map services with GMP services from the “Places” category in map applications providing end customers with en-route guidance. These applications include, for example, apps for hikers and cyclists as well as map systems for integration into vehicles.  </w:t>
        <w:br/>
        <w:t xml:space="preserve">(24) Apart from that, all map services offered differ with regard to at least some details, so that depending on the individual application, one service can be more suitable than the other. It can thus be assumed that apart from the services from the “Places” category, there is also a general demand to integrate both a GMP service and third-party map services into an application.  </w:t>
        <w:br/>
        <w:t xml:space="preserve">(25) There are considerable price differences between the individual map services of some providers, also and in particular between the GMP services and comparable third-party map services. This also gives rise to a demand for combining GMP map services with third-party map services.  </w:t>
        <w:br/>
        <w:t xml:space="preserve">4. Restrictions on combined use  </w:t>
        <w:br/>
        <w:t xml:space="preserve">(26) In its current Terms of Service, Google restricts the combined use of its own GMP services with third-party map services, which in principle would be technically possible. The company prohibits the display of Google content on non-Google maps and the imitation of Google services, and generally bans the combined use of GMP services with third-party services in vehicles. In the Terms of Service, the GMP map services are referred to as “Google Maps Core Services”.  </w:t>
        <w:br/>
        <w:t xml:space="preserve">(27) The prohibition to display Google content on non-Google maps can be found in Section 3.2.3 (e) of the general Terms of Service (and reads) as follows:  </w:t>
        <w:br/>
        <w:t xml:space="preserve">3.2.3. (e) No Use With Non-Google Maps. To avoid quality issues and/or brand confusion, Customer will not use the Google Maps Core Services with or near a non-Google Map in a Customer Application. For example, Customer will not (i) display or use Places content on a non-Google map, (ii) display Street View imagery and non-Google maps on the same screen, or (iii) link a Google Map to non-Google Maps content or a non-Google map.  </w:t>
        <w:br/>
        <w:t xml:space="preserve">(28) Similar rules can be found in the service-specific terms for individual GMP map services.  </w:t>
        <w:br/>
        <w:t xml:space="preserve">(29) The prohibition to display GMP services on non-Google maps prevents the combined use of GMP services and third-party map services as developers are contractually prohibited from using a third-party map, for example from OpenStreetMap, in an application and displaying Google features such as PoIs on this map.  </w:t>
        <w:br/>
        <w:t xml:space="preserve">(30) Section 3.2.3 (d) of the GMP Terms of Service reads as follows:  </w:t>
        <w:br/>
        <w:t xml:space="preserve">3.2.3. (d) No Re-Creating Google Products or Features. Customer will not use the Services to create a product or service with features that are substantially similar to or that re-create the features of another Google product or service. Customer’s product or service must contain substantial, independent value and features beyond the Google products or services. For example, Customer will not: (i) re-distribute the Google Maps Core Services or pass them off as if they were Customer’s services; (ii) use the Google Maps Core Services to create a substitute of the Google Maps Core Services, Google Maps, or Google Maps mobile apps, or their features; (iii) use the Google Maps Core Services in a listings or directory service or to create or augment an advertising product; (iv) combine data from the Directions API, Geolocation API, and Maps SDK for Android to create real-time navigation functionality substantially similar to the functionality provided by the Google Maps for Android mobile app.  </w:t>
        <w:br/>
        <w:t xml:space="preserve">(31) This provision prevents the combined use of GMP services and third-party map services in cases where a developer combining GMP services with third-party map services in an application creates an application which is “substantially similar” to a Google product or service.  </w:t>
        <w:br/>
        <w:t xml:space="preserve">(32) In its general Terms of Service, Google also prohibits the combined use of GMP services and third-party services in embedded vehicle applications. Section 3.2.3. (h) of the GMP Terms of Service reads as follows:  </w:t>
        <w:br/>
        <w:t xml:space="preserve">3.2.3 (h) No Use in Embedded Vehicle Systems. Customer will not use the Google Maps Core Services in connection with any Customer Application or device embedded in a vehicle. For example, Customer will not create a Customer Application that (i) is embedded in an in-dashboard automotive infotainment system; and (ii) allows End Users to request driving directions from the Directions API.  </w:t>
        <w:br/>
        <w:t xml:space="preserve">(33) This provision contractually prohibits the combined in-vehicle use of GMP services and third-party services.  </w:t>
        <w:br/>
        <w:t xml:space="preserve">III. Course of the proceeding  </w:t>
        <w:br/>
        <w:t xml:space="preserve">(34) The proceeding was initiated following a complaint against Google’s practices in connection with GMP which TomTom filed with the Bundeskartellamt on 4 August 2021.  </w:t>
        <w:br/>
        <w:t>10 The complaint also relates to practices in connection with Google Automotive Services (GAS). See the Bundeskartellamt’s B7-25/22-GAS decision issued at the same date.</w:t>
      </w:r>
    </w:p>
    <w:p>
      <w:r>
        <w:rPr>
          <w:b/>
        </w:rPr>
        <w:t>[Pages 10–12]</w:t>
      </w:r>
    </w:p>
    <w:p>
      <w:r>
        <w:t>- 10 -</w:t>
        <w:br/>
        <w:t>(35) The Bundeskartellamt’s 7th Decision Division informed Google on 14 February 2022 that it had initiated a proceeding on the suspicion of abusive practices pursuant to Section 19a(2) GWB and Sections 19, 20 GWB and Article 102 of the Treaty on the Functioning of the European Union (TFEU) with regard to Google’s GMP, Google Automotive Services (GAS) and Android Automotive Operating System (AAOS) offerings. On the same day, in accordance with Section 49(1) GWB, the competition authority of the Land Hamburg was informed about the initiation of the proceeding.</w:t>
      </w:r>
    </w:p>
    <w:p>
      <w:r>
        <w:t>(36) In the course of its investigations, the Decision Division held numerous talks with different market participants and requested written information from Google, its competitors, and its customers relating to the use of GMP services.</w:t>
      </w:r>
    </w:p>
    <w:p>
      <w:r>
        <w:t>(37) TomTom was admitted to the proceeding on 4 August 2022, Cerence Inc. on 25 May 2023.</w:t>
      </w:r>
    </w:p>
    <w:p>
      <w:r>
        <w:t>(38) At various points in time, the Decision Division granted the parties access to the then current version of the main file and to the supporting files maintained for the investigations. TomTom was also granted access to the files several times. Cerence was granted access to TomTom’s complaint on 2 June 2023 and, on 11 August 2023, to various sections of the files as specified by Cerence.</w:t>
      </w:r>
    </w:p>
    <w:p>
      <w:r>
        <w:t>(39) On 8 February 2023, Google received a preliminary assessment notice relating to the company’s conduct as provider of GMP. On 31 March 2023, Google commented on the preliminary assessment notice. On 22 February 2023, TomTom received a version of the preliminary assessment notice in which the parties’ business secrets had been redacted. In a letter dated 31 March 2023, TomTom provided its comments on this notice.</w:t>
      </w:r>
    </w:p>
    <w:p>
      <w:r>
        <w:t>(40) On 12 July 2023, Google submitted a first commitments proposal to the Decision Division. Google adjusted, extended, and developed this proposal in several stages and submitted these updates accordingly, for example on 9 November 2023. On 27 March 2024, the Decision Division informed Google of the reasons why this proposal was not suitable to resolve its competition concerns.</w:t>
      </w:r>
    </w:p>
    <w:p>
      <w:r>
        <w:t>- 11 -</w:t>
        <w:br/>
        <w:t>(41) On 13 May 2024, Google provided a further proposal for commitments in which substantial changes were made compared to the previous proposals. On 5 March 2025 – without prejudice to Google’s view that the intervention requirements of Section 19a(2) sentence 1 no. 3b and 5 GWB are not fulfilled – the company finally proposed the commitments which this decision declares binding.</w:t>
      </w:r>
    </w:p>
    <w:p>
      <w:r>
        <w:t>(42) On 3 February 2025, pursuant to Article 38(3) of the Digital Markets Act (DMA), the Decision Division sent its draft decision based on Section 32b GWB to the European Commission. The European Commission responded on 6 March 2025.</w:t>
      </w:r>
    </w:p>
    <w:p>
      <w:r>
        <w:t>(43) On 7 March 2025, the Decision Division invited Google, and on 11 March 2025, the third parties admitted to the proceeding, to comment on its draft decision. Google commented on the draft decision on 27 March 2025, and TomTom on 21 March 2025.</w:t>
      </w:r>
    </w:p>
    <w:p>
      <w:r>
        <w:t>B. Preliminary legal assessment</w:t>
        <w:br/>
        <w:t>(44) Upon the preliminary assessment of the Bundeskartellamt’s 7th Decision Division, the provisions stipulated in the GMP Terms of Service, which restrict the combined use of GMP services and third-party services, fulfill the criteria laid down in Section 19a(2) sentence 1 no. 3b, 5 GWB. The application of Section 19a GWB is not precluded by the DMA (see I.). Upon preliminary assessment, the restrictions prevent the interoperability of the GMP services with third-party map services or make it more difficult (see II.), and make the use of an offer conditional on the use of another offer provided by the company (see III.). Upon preliminary assessment, this conduct is not objectively justified (see IV.).</w:t>
      </w:r>
    </w:p>
    <w:p>
      <w:r>
        <w:t>(45) The Decision Division’s preliminary assessment is based on Section 19a(2) sentence 1 no. 3b, 5 GWB. Google is the norm addressee of this provision as the Bundeskartellamt’s Decision Division determined on 30 December 2021 that Google is of paramount significance for competition across markets pursuant to Section 19a(1) sentence 1 GWB.</w:t>
      </w:r>
    </w:p>
    <w:p>
      <w:r>
        <w:t>I. Application not precluded by DMA</w:t>
        <w:br/>
        <w:t>(46) The application of Section 19a(2) GWB and the issuance of the present decision based on Section 19a(2) sentence 4 in conjunction with Section 32b(1) GWB are not precluded by the DMA. The decision respects the scope of Article 1(6) sentence 2(b). According to this provision, the DMA is without prejudice to the application of national competition rules prohibiting other forms of unilateral conduct insofar as they are applied to undertakings other than gatekeepers or amount to the imposition of further obligations on gatekeepers. Section 19a GWB is a national competition rule prohibiting unilateral conduct within the meaning of Article 1(6) sentence 2(b) DMA.</w:t>
      </w:r>
    </w:p>
    <w:p>
      <w:r>
        <w:t>(47) This commitment decision addresses Google and therefore a gatekeeper within the meaning of the DMA. On 5 September 2023, the European Commission designated Google as a gatekeeper within the meaning of Article 3 DMA. The commitments impose on Alphabet further obligations within the meaning of Article 1(6)(b) DMA.</w:t>
      </w:r>
    </w:p>
    <w:p>
      <w:r>
        <w:t>II. Restricting interoperability (Section 19a(2) sentence 1 no. 5 GWB)</w:t>
        <w:br/>
        <w:t>(48) Upon preliminary assessment, Google uses contractual restrictions to refuse or impede the interoperability, which in principle is technically feasible, of GMP services with third-party services, thus fulfilling the criteria of Section 19a(2) sentence 1 no. 5 GWB.</w:t>
      </w:r>
    </w:p>
    <w:p>
      <w:r>
        <w:t>(49) According to the legislative intent, the concepts of refusing interoperability or making it difficult which are used in Section 19a(2) sentence 1 no. 5 GWB are to be interpreted in a manner that recognizes the importance of maintaining competitive conditions in the market.</w:t>
      </w:r>
    </w:p>
    <w:p>
      <w:r>
        <w:rPr>
          <w:b/>
        </w:rPr>
        <w:t>[Pages 13–15]</w:t>
      </w:r>
    </w:p>
    <w:p>
      <w:r>
        <w:t>- 13 -</w:t>
        <w:br/>
        <w:t>broad sense. The provision therefore covers not only technical restrictions. In principle, a variety of heterogeneous factors negatively affecting the interoperability or interaction of products could be considered, including technical, commercial, or contractual requirements.</w:t>
      </w:r>
    </w:p>
    <w:p>
      <w:r>
        <w:t>(50) With regard to the map services assessed in this proceeding, technical interoperability refers to the possibility of interconnecting different map services without having to make disproportionate technical adjustments and without loss in quality in order to enable customers to combine these services. In practical terms, interoperability of the GMP services is ensured by APIs which are made available to developers either directly or via SDKs on GMP.</w:t>
      </w:r>
    </w:p>
    <w:p>
      <w:r>
        <w:t>(51) However, upon preliminary assessment, the contractual provisions mentioned above (see A.II.4) restrict the interoperability of GMP services with third-party services. Upon preliminary assessment, GMP services currently may not be displayed on third-party maps. In vehicle-embedded systems, GMP services and third-party maps may not be combined. A combination of the services is also excluded if they are used in an application which is substantially similar to or re-creates the features of another Google product or service.</w:t>
      </w:r>
    </w:p>
    <w:p>
      <w:r>
        <w:t>(52) Upon preliminary assessment, the contractual restriction of interoperability impedes competition. As discussed above (see A.II.3), upon preliminary assessment, there is a demand for numerous applications for combining GMP map services with other map services, which, upon preliminary assessment, is prevented by the contractual restriction of interoperability. Upon preliminary assessment, this impedes customers sourcing map service applications as they are generally prevented from using a combination of GMP services and third-party map services best suited to their purposes. Upon preliminary assessment, Google’s conduct also impedes its competitors, that is other providers of map services. This occurs in particular where customers are specifically interested in using a map service offered by Google. In such cases, customers are likely to only use a map service offered by Google instead of using map services offered by several different providers. This means that other providers of map services cannot compete with Google’s offering, which constitutes an impediment of competition.</w:t>
      </w:r>
    </w:p>
    <w:p>
      <w:r>
        <w:t>- 14 -</w:t>
        <w:br/>
        <w:t>III. Making the use of an offer conditional on the use of another offer (Section 19a(2) sentence 1 no 3b GWB)</w:t>
      </w:r>
    </w:p>
    <w:p>
      <w:r>
        <w:t>(53) Upon preliminary assessment, the restrictions imposed by Google with regard to the use of Google content on or near non-Google maps also fulfill the criteria of Section 19a(2) sentence 1 no 3b GWB.</w:t>
      </w:r>
    </w:p>
    <w:p>
      <w:r>
        <w:t>(54) The prohibition under Section 19a(2) sentence 1 no 3 GWB is to prevent the “‘envelopment” of markets in which the company in question is not yet dominant by applying anti-competitive measures such as predatory pricing strategies, anti-competitive exclusivity agreements, or linking or bundling offerings. The prohibition criteria under Section 19a(2) sentence 1 no 3b GWB refer in particular to scenarios in which the use of an offering is conditional on the use of another offering provided by the norm addressee.</w:t>
      </w:r>
    </w:p>
    <w:p>
      <w:r>
        <w:t>(55) Upon preliminary assessment, the clause under 3.2.3 (e) (“No Use With Non-Google Maps”) often results in Google services being de facto linked to a Google map, because applications which are developed using GMP services frequently display maps. Google has a strong, superior position with regard to at least some of these services. This allows Google, as a provider of map services, to rapidly expand its position with regard to other GMP services, and Google’s clause impedes its competitors.</w:t>
      </w:r>
    </w:p>
    <w:p>
      <w:r>
        <w:t>IV. No objective justification</w:t>
      </w:r>
    </w:p>
    <w:p>
      <w:r>
        <w:t>(56) Upon preliminary assessment, the conduct in question is not objectively justified (Section 19a(2) sentences 2 and 3 GWB). Whether there is an objective justification is examined by weighing up the respective interests in the light of the law’s objective, which is directed towards ensuring freedom of competition. In a comparison with (in particular short-term) efficiencies for the benefit of the affected companies and consumers, particular weight must normally be given to the long-term legal objectives of limiting economic positions of power, keeping markets open, and protecting companies’ opportunities in the competitive process. Pursuant to Section 19a(2) sentence 3 GWB, the burden of demonstration and proof that a conduct is objectively justified in the individual case lies with the norm addressee.</w:t>
      </w:r>
    </w:p>
    <w:p>
      <w:r>
        <w:t>(57) The preliminary weighing of interests has resulted in the finding that Google’s interests in protecting its investment and intellectual property do not prevail. Upon preliminary assessment, the customers’ and providers’ interest in being able to combine GMP services with third-party map services and the public interest in ensuring freedom of competition override Google’s possible interests.</w:t>
      </w:r>
    </w:p>
    <w:p>
      <w:r>
        <w:t>C. Discontinuation pursuant to Section 32b(1) GWB</w:t>
      </w:r>
    </w:p>
    <w:p>
      <w:r>
        <w:t>(58) Pursuant to Section 19a(2) sentence 4 GWB, the Decision Division was able to decide, in application of Section 32b(1) GWB and exercising its due discretion, to declare the commitments offered by the parties in their submission of 5 March 2025 and shown in the annex binding and to close the proceeding in accordance with Section 32b(1) sentence 2 GWB to the extent covered by the commitments.</w:t>
      </w:r>
    </w:p>
    <w:p>
      <w:r>
        <w:t>(59) In the Decision Division’s assessment, the commitments offered by Google are, to the extent of their scope, sufficiently capable of dispelling the concerns communicated upon preliminary assessment (see I.). In exercising its due discretion, the Decision Division carried out an overall weighing of the circumstances that speak for and against discontinuing the proceedings in accordance with Section 32b(1) sentence 2 GWB (see II.). In accordance with Section 32b(1) sentence 3 GWB, the decision was to be limited in time to the duration of the commitments offered (see III.).</w:t>
      </w:r>
    </w:p>
    <w:p>
      <w:r>
        <w:t>I. Commitments</w:t>
      </w:r>
    </w:p>
    <w:p>
      <w:r>
        <w:t>(60) The commitments offered by Google are, to the extent of their scope, sufficiently capable of dispelling the concerns pursuant to Section 19a(2) sentence 1 no 3b, 5 GWB, which had been communicated to Google by the Bundeskartellamt upon preliminary assessment.</w:t>
      </w:r>
    </w:p>
    <w:p>
      <w:r>
        <w:rPr>
          <w:b/>
        </w:rPr>
        <w:t>[Pages 16–18]</w:t>
      </w:r>
    </w:p>
    <w:p>
      <w:r>
        <w:t>- 16 -</w:t>
        <w:br/>
        <w:t>1. Content of the commitments</w:t>
        <w:br/>
        <w:t>(61) The commitments offered by Google stipulate the following:</w:t>
        <w:br/>
        <w:t>(62) Google will remove clauses 3.2.3 (d), 3.2.3 (e) and 3.2.3 (h) as well as clauses with the same meaning or effect from the Terms of Service (ToS) and will not restrict the use of GMP services by any contractual terms which have the same meaning or effect as the clauses named above (Commitments 1.1–1.3).</w:t>
        <w:br/>
        <w:t>(63) Google will implement the commitments for all GMP customers with a billing address in the European Economic Area (EEA) (Commitment 2.1). If GMP services are used in in-vehicle infotainment systems (in the following: “IVI systems”), Google will also implement the commitments for vehicle manufacturers and their suppliers, to the extent that they use GMP services in IVI systems which are integrated in series passenger cars that are or may be registered in Germany. This also applies if vehicle manufacturers or their suppliers use GMP services for IVI systems which are not integrated in series passenger cars that are or may be registered in Germany, provided that the IVI systems essentially correspond to the systems mentioned above (Commitment 2.2).</w:t>
        <w:br/>
        <w:t>(64) Google will implement the adjustment to its ToS within 90 days of the effective date (Commitment 3.1). Google will inform existing GMP customers with a billing address in the EEA of the changes entailed by the commitments within 90 days of the effective date (Commitment 3.2). Upon a substantiated request by Google, the Bundeskartellamt may extend the implementation periods (Commitment 3.3).</w:t>
        <w:br/>
        <w:t>(65) Google will submit to the Bundeskartellamt a report explaining the intended changes to the Terms of Use of GMP Services and Google’s intended notification to GMP customers affected (Commitments 4.1 and 4.2).</w:t>
        <w:br/>
        <w:t>(66) Google will not circumvent the commitments, for example by renaming its offering or transferring it to another platform (Commitment 5.1).</w:t>
        <w:br/>
        <w:t>(67) Modifying GMP services, for example by updating and improving individual services, as well as developing and offering GMP services for specific use cases, for example web applications, will not be deemed a circumvention of the commitments (Commitment 5.2 (i)). The Bundeskartellamt’s decision does not prevent Google from restricting the usage of GMP Services that are in a testing or market validation phase. Nor is Google prevented from offering GMP services which may not be used in combination with a map, provided that this restriction applies equally to Google maps and third-party maps. Restrictions of</w:t>
      </w:r>
    </w:p>
    <w:p>
      <w:r>
        <w:t>- 17 -</w:t>
        <w:br/>
        <w:t>the usage of GMP services to protect against the risk of injury, death or property damage are also not deemed to circumvent the commitments (Commitment 5.2 (ii)). Prohibiting customers from re-distributing GMP services separately, or passing them off as their own service which is not included in a more comprehensive offering for customers, is also not deemed to be a circumvention (Commitment 5.2 (iii)). The decision does not prevent Google from offering additional GMP services for use only in IVI systems, provided that they do not result in the discontinuation of a GMP service and the creation of a comparable offering within the meaning of Commitment 5.1 (Commitment 5.2 (iv)). Nor does the decision prevent Google from refusing direct contracts with suppliers who do not have a billing address in the EEA (Commitment 5.2 (v)).</w:t>
        <w:br/>
        <w:t>(68) The commitments will remain in force for ten years from the effective date (Commitment 6.1). Google is free to ask the Bundeskartellamt to revoke its decision in whole or in part within this period if the circumstances that formed the basis for these commitments have changed significantly (Commitment 6.2).</w:t>
        <w:br/>
        <w:t>2. Assessment of the commitments</w:t>
        <w:br/>
        <w:t>(69) These commitments are capable of dispelling the concerns communicated to Google upon preliminary assessment.</w:t>
        <w:br/>
        <w:t>(70) Upon preliminary assessment, the contractual restrictions assessed in this proceeding contractually restrict technically existing interoperability between GMP services and third-party map services. In addition, they link the use of GMP services to the use of a Google map. Both restrictions will be completely discontinued. In particular, users will in future be allowed to display Google content on or near third-party maps. This ensures that the existing demand for combining GMP map services – which, at least for some specific use cases, are of superior quality to other services available in the market – with third-party map services can be met. The commitments permanently eliminate the negative effect Google’s customers and competitors experience with regard to their freedom to pursue an economic activity in the map services sector.</w:t>
        <w:br/>
        <w:t>(71) Also with regard to their geographical scope, the commitments are suitable to dispel the concerns the Bundeskartellamt raised upon preliminary assessment. The Bundeskartellamt expects that GMP customers offering or using, or wishing to offer or use, an application relating to Germany usually have a billing address in the EEA. An application relating to Germany refers to, for example, an application which (also) covers Germany as a whole or in parts, or is used by users located in Germany. The billing address is a clear</w:t>
      </w:r>
    </w:p>
    <w:p>
      <w:r>
        <w:t>- 18 -</w:t>
        <w:br/>
        <w:t>criterion enabling GMP customers to determine independently and with legal certainty whether their applications are within the scope of the commitments.</w:t>
        <w:br/>
        <w:t>(72) As to the use of GMP services in IVI systems, the commitments are effective due to a supplementary provision on their geographical scope. When developing IVI systems, vehicle manufacturers aim at ensuring that the IVI systems can be deployed across different countries, since providing different equipment according to the region or country of destination increases their costs. Separate solutions are only developed for compelling reasons, for example when particular services are not available online in certain regions or when particular services cannot be used in individual countries due to political or legal restrictions. Accordingly, suppliers offer IVI system components that can generally be deployed across different countries. This is ensured by the supplementary provision on the billing address criterion which only applies to vehicle manufacturers. In line with this common practice in the automotive sector and based on the commitments, vehicle manufacturers and their suppliers without a billing address in the EEA can also integrate Google’s services into IVI systems which are generally intended for sale in several countries or regions without the restrictions assessed in this proceeding and do not have to differentiate to any greater extent than before. With regard to the vehicles in which IVI systems are used, the commitments are linked to the registration of vehicles in Germany, which is based on European law and generally valid throughout the European Union. In line with this common practice for the development and deployment of IVI systems, the commitments also extend to all IVI systems which, as they have been developed as uniform systems, correspond to these IVI systems, without prejudice to possible minor deviations in the individual case. System images, in particular, will serve as a clear criterion which is recognised throughout the industry. In all other respects, reference is made to the Bundeskartellamt’s decision in a parallel proceeding relating to Google Automotive Services (GAS).</w:t>
        <w:br/>
        <w:t>(73) The commitments are effective as Google will amend its contractual terms within 90 days after this decision has been issued, and, after this date, will only offer GMP services without the restrictions assessed in this proceeding. In addition, Google will inform GMP customers affected by the commitments about the changes that have been made. This is because</w:t>
      </w:r>
    </w:p>
    <w:p>
      <w:r>
        <w:rPr>
          <w:b/>
        </w:rPr>
        <w:t>[Pages 19–21]</w:t>
      </w:r>
    </w:p>
    <w:p>
      <w:r>
        <w:t>- 19 -</w:t>
        <w:br/>
        <w:t xml:space="preserve">existing GMP customer will only use the new options arising from the elimination of the restrictions if they are informed about them in the first place.  </w:t>
        <w:br/>
        <w:t xml:space="preserve">(74) The rules for reporting on the implementation of the commitments allow the Bundeskartellamt to review whether the commitments are implemented by Google in accordance with this decision.  </w:t>
        <w:br/>
        <w:t xml:space="preserve">(75) The commitments are effective because Google is required not to take any measures to circumvent its obligations. The comprehensive anti-circumvention provision ensures that Google will not undermine the commitments which essentially aim to eliminate all restrictions on the interoperability between GMP services and third-party services. Clarifications as to which measures are not deemed to circumvent the commitments serve to ensure legal certainty. They are to be interpreted in light of the general commitment not to allow any circumvention and in light of the objective of this decision.  </w:t>
        <w:br/>
        <w:t xml:space="preserve">(76) Finally, the effectiveness of the commitments is also ensured by the fact that they will be in place for ten years. The period of ten years is sufficient to make the development of applications which combine Google map services and third-party map services commercially attractive. For more details on the time limit, see also III.  </w:t>
        <w:br/>
        <w:t xml:space="preserve">II. Discretion  </w:t>
        <w:br/>
        <w:t xml:space="preserve">(77) In exercising its due discretion, the Decision Division carried out an overall assessment of the circumstances which speak for and against discontinuing the proceeding pursuant to Section 32b GWB.  </w:t>
        <w:br/>
        <w:t xml:space="preserve">(78) Despite the fact that the administrative proceeding was well advanced, an argument in favour of discontinuing the proceeding was that the commitments, to the extent of their scope, appear sufficiently capable of dispelling the concerns based on Section 19a(2) sentence 1 no. 3b, 5 GWB and communicated to Google upon preliminary assessment.  </w:t>
        <w:br/>
        <w:t>(79) Attention also had to be paid to avoiding a lengthy and complex court dispute, which could have had an adverse effect on the immediate enforcement and thus the real impact of a disputed prohibition decision. This outweighed the chances of clarifying in subsequent court proceedings fundamental questions concerning the application requirements of Section 19a(2) GWB which may be of significance for other cases.</w:t>
      </w:r>
    </w:p>
    <w:p>
      <w:r>
        <w:t xml:space="preserve">- 20 -  </w:t>
        <w:br/>
        <w:t xml:space="preserve">III. Time limit  </w:t>
        <w:br/>
        <w:t xml:space="preserve">(80) In accordance with Section 32b(1) sentence 3 GWB, the decision was to be limited to the duration of the commitments. Accordingly, with regard to the commitments’ scope of application, the Bundeskartellamt may again take unrestricted action on the basis of Section 19a(2) sentence 1 GWB after their expiry. The validity of this decision is not dependent on whether a decision pursuant to Section 19a(1) GWB is effective during their duration, i.e., in particular on whether, during the duration of the commitments, the Decision Division extends the current final determination of the status as norm addressee of Section 19a(1) GWB.  </w:t>
        <w:br/>
        <w:t xml:space="preserve">D. Fees  </w:t>
        <w:br/>
        <w:t xml:space="preserve">(81) The decision on fees is based on Section 62(1) sentence 2 no. 2 GWB. Pursuant to Section 62(2) sentence 1 GWB, the amount of the fee is determined based on the personnel and material expenses incurred by the Bundeskartellamt and the economic significance of the subject matter of the act subject to fees. Pursuant to Section 62(2) sentence 2 no. 2 GWB, the fee rates may not exceed 25,000 euros in the case of Section 32b(1) GWB. If the personnel and material expenses of the competition authority are unusually high in a particular case, taking into account the economic importance of the act subject to fees concerned, the fee may be increased up to twice its amount pursuant to Section 62(2) sentence 3 GWB. […]  </w:t>
        <w:br/>
        <w:t xml:space="preserve">(82) The parties 1 and 2 are liable to pay this fee as joint debtors pursuant to Section 62(6) sentence 1 no. 2 in conjunction with sentence 3.  </w:t>
        <w:br/>
        <w:t xml:space="preserve">(83) The fee is due upon service of this decision and is to be transferred within one month of service of this decision to the following account:  </w:t>
        <w:br/>
        <w:t xml:space="preserve">Beneficiary: Bundeskasse Trier  </w:t>
        <w:br/>
        <w:t xml:space="preserve">IBAN: DE81 5900 0000 0059 0010 20  </w:t>
        <w:br/>
        <w:t xml:space="preserve">BIC: MARKDEF 1590  </w:t>
        <w:br/>
        <w:t xml:space="preserve">Bank: Deutsche Bundesbank, Filiale Saarbrücken  </w:t>
        <w:br/>
        <w:t xml:space="preserve">(84) Please indicate the following cash reference number as the purpose of payment:  </w:t>
        <w:br/>
        <w:t>[…]</w:t>
      </w:r>
    </w:p>
    <w:p>
      <w:r>
        <w:t xml:space="preserve">- 21 -  </w:t>
        <w:br/>
        <w:t xml:space="preserve">(85) The payment cannot be processed without the cash reference number being specified.  </w:t>
        <w:br/>
        <w:t xml:space="preserve">(86) If the fee is not paid within one month of the date of service, a late payment surcharge of one percent of the amount in arrears will be charged for each month or part of a month in arrears. International transfers are usually subject to bank charges. In such cases, it must be ensured that the full fee is credited to the Bundeskartellamt’s account.  </w:t>
        <w:br/>
        <w:t>(87) The expenses incurred by the required publication of this decision in the Federal Gazette (Section 61(3) sentence 1 GWB) will be charged separately (Section 62(1) sentence 3 GWB).</w:t>
      </w:r>
    </w:p>
    <w:p>
      <w:r>
        <w:rPr>
          <w:b/>
        </w:rPr>
        <w:t>[Pages 22–24]</w:t>
      </w:r>
    </w:p>
    <w:p>
      <w:r>
        <w:t>- 22 -</w:t>
        <w:br/>
        <w:t xml:space="preserve">E. Information on the right to appeal  </w:t>
        <w:br/>
        <w:t xml:space="preserve">The decision is eligible for appeal. The appeal must be filed with the Bundeskartellamt, Bonn, within a period of one month beginning with the formal service of the decision. However, it is sufficient if it is received by the court of appeal, the Federal Court of Justice, Karlsruhe, within this period.  </w:t>
        <w:br/>
        <w:t xml:space="preserve">The appeal must be substantiated. The statement of the grounds of appeal must be filed with the Bundeskartellamt or the court of appeal. The time limit for filing the statement of the grounds of appeal is two months. It begins upon receipt of the decision under appeal and may be extended, upon application by the presiding judge of the court of appeal. The statement of the grounds of appeal must contain a statement of the extent to which the decision is contested and its amendment or revocation is requested, and state the facts and evidence – including any new facts and evidence – on which the appeal is based.  </w:t>
        <w:br/>
        <w:t xml:space="preserve">The parties must be represented by a lawyer for the filing and substantiation of the appeal.  </w:t>
        <w:br/>
        <w:t>Dr Krauß Dr Mehler Dr Locher</w:t>
      </w:r>
    </w:p>
    <w:p>
      <w:r>
        <w:t xml:space="preserve">- 23 -  </w:t>
        <w:br/>
        <w:t xml:space="preserve">Contents  </w:t>
        <w:br/>
        <w:t xml:space="preserve">A. Facts of the case ............................................................................................. 3  </w:t>
        <w:br/>
        <w:t xml:space="preserve">I. Parties involved ................................................................................................. 3  </w:t>
        <w:br/>
        <w:t xml:space="preserve">II. GMP map services and third-party map services .............................................. 4  </w:t>
        <w:br/>
        <w:t xml:space="preserve">1. Google Maps Platform (GMP) .......................................................................................... 4  </w:t>
        <w:br/>
        <w:t xml:space="preserve">2. Other map service providers............................................................................................. 5  </w:t>
        <w:br/>
        <w:t xml:space="preserve">3. Demand for combined use ................................................................................................ 6  </w:t>
        <w:br/>
        <w:t xml:space="preserve">4. Restrictions on combined use........................................................................................... 8  </w:t>
        <w:br/>
        <w:t xml:space="preserve">III. Course of the proceeding .................................................................................. 9  </w:t>
        <w:br/>
        <w:t xml:space="preserve">B. Preliminary legal assessment........................................................................ 11  </w:t>
        <w:br/>
        <w:t xml:space="preserve">I. Application not precluded by DMA .................................................................... 12  </w:t>
        <w:br/>
        <w:t xml:space="preserve">II. Restricting interoperability (Section 19a(2) sentence 1 no 5 GWB) ................... 12  </w:t>
        <w:br/>
        <w:t xml:space="preserve">III. Making the use of an offer conditional on the use of another offer  </w:t>
        <w:br/>
        <w:t xml:space="preserve">(Section 19a(2) sentence 1 no 3b GWB) ........................................................... 14  </w:t>
        <w:br/>
        <w:t xml:space="preserve">IV. No objective justification .................................................................................... 14  </w:t>
        <w:br/>
        <w:t xml:space="preserve">C. Discontinuation pursuant to Section 32b(1) GWB ....................................... 15  </w:t>
        <w:br/>
        <w:t xml:space="preserve">I. Commitments .................................................................................................... 15  </w:t>
        <w:br/>
        <w:t xml:space="preserve">1. Content of the commitments ............................................................................................. 16  </w:t>
        <w:br/>
        <w:t xml:space="preserve">2. Assessment of the commitments ...................................................................................... 17  </w:t>
        <w:br/>
        <w:t xml:space="preserve">II. Discretion .......................................................................................................... 19  </w:t>
        <w:br/>
        <w:t xml:space="preserve">III. Time limit .......................................................................................................... 20  </w:t>
        <w:br/>
        <w:t xml:space="preserve">D. Fees ................................................................................................................. 20  </w:t>
        <w:br/>
        <w:t>E. Information on the right to appeal ................................................................. 22</w:t>
      </w:r>
    </w:p>
    <w:p>
      <w:r>
        <w:t xml:space="preserve">Confidential  </w:t>
        <w:br/>
        <w:t xml:space="preserve">B7-25/22  </w:t>
        <w:br/>
        <w:t xml:space="preserve">Commitment Offer pursuant to Section 32b GWB  </w:t>
        <w:br/>
        <w:t xml:space="preserve">In order to find an amicable solution in Case B7-25/22, Google offers the following Commitments to resolve the Bundeskartellamt's preliminary concerns under Section 19a(2) sentence 1 no. 3(b) and 5 GWB regarding the terms of service of the Google Maps Platform.  </w:t>
        <w:br/>
        <w:t xml:space="preserve">Nothing in these Commitments may be construed as implying that Google agrees with any preliminary views expressed by the Bundeskartellamt in its statement of objection dated 8 February 2023, including on the application and scope of Section 19a GWB. The Commitments are without prejudice to Google's position should the Bundeskartellamt or any other party conduct proceedings or commence legal actions against Alphabet Inc. and affiliated companies in a matter covered by these Commitments.  </w:t>
        <w:br/>
        <w:t xml:space="preserve">A. Definitions  </w:t>
        <w:br/>
        <w:t xml:space="preserve">Effective Date means the date upon which the Commitments are declared binding by a final decision of the Bundeskartellamt.  </w:t>
        <w:br/>
        <w:t xml:space="preserve">GMP Services means the generally available GMP maps, routes, places, and/or environmental products and services offered through GMP during the term of the Commitments for use with third party web and mobile applications. The Commitments apply to the GMP Services that are available subject to the geographical scope defined in sections 2.1 and 2.2.  </w:t>
        <w:br/>
        <w:t xml:space="preserve">GMP means Google Maps Platform.  </w:t>
        <w:br/>
        <w:t xml:space="preserve">Google means Alphabet Inc. and all its affiliated companies.  </w:t>
        <w:br/>
        <w:t xml:space="preserve">IVI System means In-Vehicle-Infotainment System.  </w:t>
        <w:br/>
        <w:t xml:space="preserve">OEM means original equipment manufacturer of series passenger cars.  </w:t>
        <w:br/>
        <w:t xml:space="preserve">Product Evaluation Agreement means any agreement between Google and an OEM interested in procuring GMP Services, which sets forth the rights, obligations and restrictions between Google and the OEM prior to a definitive (e.g., commercial) agreement.  </w:t>
        <w:br/>
        <w:t xml:space="preserve">Supplier means any contractor (which, for the sake of clarity, includes subcontractors and any entity that controls or is controlled by an OEM) other than Google, working with an OEM, provided the OEM either:  </w:t>
        <w:br/>
        <w:t>a) is a GMP customer and has entered into a written agreement with such aforementioned contractor, which:</w:t>
      </w:r>
    </w:p>
    <w:p>
      <w:r>
        <w:rPr>
          <w:b/>
        </w:rPr>
        <w:t>[Pages 25–27]</w:t>
      </w:r>
    </w:p>
    <w:p>
      <w:r>
        <w:t xml:space="preserve">Confidential  </w:t>
        <w:br/>
        <w:t xml:space="preserve">i) contains terms, obligations, restrictions, and requirements that are no less protective of Google than the terms, obligations, restrictions, and requirements applicable to the OEM as set out in the respective Terms of Use of GMP Services; and  </w:t>
        <w:br/>
        <w:t xml:space="preserve">ii) allows such contractor to access the respective GMP Services solely for the benefit of the OEM for internal testing, evaluation, manufacturing, and development purposes (i.e. no commercial distribution) with respect to the OEM’s IVI System.  </w:t>
        <w:br/>
        <w:t xml:space="preserve">or  </w:t>
        <w:br/>
        <w:t xml:space="preserve">b) has entered into a Product Evaluation Agreement, and has entered into a written agreement with such aforementioned contractor, which:  </w:t>
        <w:br/>
        <w:t xml:space="preserve">i) contains terms, obligations, restrictions, and requirements that are no less protective of Google than the terms, obligations, restrictions, and requirements applicable to the OEM as set out in the respective Product Evaluation Agreement; and  </w:t>
        <w:br/>
        <w:t xml:space="preserve">ii) allows such contractor to access the respective GMP Services solely for the purpose of evaluating the integration into the OEMs’ IVI System.  </w:t>
        <w:br/>
        <w:t xml:space="preserve">System Image is a binary snapshot of the IVI System software at a point in time. This includes the operating system, pre-installed applications (e.g., OEM applications, third-party applications, Google applications), the system user interface, and necessary software settings. Each System Image has a unique identifier, usually in the form of (alpha-)numeric codes or strings.  </w:t>
        <w:br/>
        <w:t xml:space="preserve">Terms of Use of GMP Services means sections within the ToS and other applicable contractual terms between Google and the GMP customer that specifically govern the customer’s use of GMP Services.  </w:t>
        <w:br/>
        <w:t xml:space="preserve">ToS means the GMP Terms of Service as applicable from time to time.1  </w:t>
        <w:br/>
        <w:t xml:space="preserve">B. Commitments  </w:t>
        <w:br/>
        <w:t xml:space="preserve">1.1 Google will remove clauses 3.2.3(d) (No Re-Creating Google Products or Features), 3.2.3(e) (No Use with Non-Google Maps) and 3.2.3(h) (No Use in Embedded Vehicle Systems) from the ToS in the version applicable on the Effective Date (see the Annex for the text of the clauses).  </w:t>
        <w:br/>
        <w:t xml:space="preserve">1.2 Google will remove clauses with the same meaning or effect as the clauses named in section 1.1 from all Terms of Use of GMP Services.  </w:t>
        <w:br/>
        <w:t xml:space="preserve">1.3 Google will not restrict the use of GMP Services by contractual terms in the Terms of Use of GMP Services with the same meaning or effect as the clauses removed according to sections 1.1 and 1.2.  </w:t>
        <w:br/>
        <w:t xml:space="preserve">1 The current version can be accessed at https://cloud.google.com/maps-platform/terms.  </w:t>
        <w:br/>
        <w:t>2</w:t>
      </w:r>
    </w:p>
    <w:p>
      <w:r>
        <w:t xml:space="preserve">Confidential  </w:t>
        <w:br/>
        <w:t xml:space="preserve">Geographical Scope  </w:t>
        <w:br/>
        <w:t xml:space="preserve">2.1 Google will implement the Commitments for GMP customers with a billing address in the European Economic Area.  </w:t>
        <w:br/>
        <w:t xml:space="preserve">2.2 In addition, Google will also implement the Commitments for OEMs and their Suppliers, to the extent each integrates GMP Services in that OEM’s IVI System that is also currently deployed or is to be deployed in series passenger cars that are or may be registered in Germany. The commitments also apply to IVI Systems that essentially correspond to those mentioned in sentence 1, regardless of where the IVI system is shipped. IVI Systems essentially correspond if they provide for a largely uniform user experience, do not require additional development and integration costs, and are based on essentially similar hardware and software. For the sake of clarity, minor hardware module variations to accommodate regional differences, and minor software module variations to accommodate regional differences in language, map data, and content as well as different middleware that represent the software under the IVI System do not render an IVI System not to be essentially corresponding to the aforementioned IVI System. In any case, IVI Systems are the same if the System Image is identical.  </w:t>
        <w:br/>
        <w:t xml:space="preserve">Implementation  </w:t>
        <w:br/>
        <w:t xml:space="preserve">3.1 Google will implement the Commitments within 90 days of the Effective Date.  </w:t>
        <w:br/>
        <w:t xml:space="preserve">3.2 Google will actively inform existing GMP customers with a billing address in the European Economic Area of the changes and measures entailed by the Commitments in text form within 90 days of the Effective Date.  </w:t>
        <w:br/>
        <w:t xml:space="preserve">3.3 Upon a substantiated request by Google, the Bundeskartellamt may extend the implementation periods.  </w:t>
        <w:br/>
        <w:t xml:space="preserve">Reporting  </w:t>
        <w:br/>
        <w:t xml:space="preserve">4.1. Google will submit a report explaining the intended changes to the Terms of Use of GMP Services which Google will implement to comply with the Commitments to the Bundeskartellamt at least 12 working days prior to the implementation of the Commitments.  </w:t>
        <w:br/>
        <w:t xml:space="preserve">4.2. Google will submit Google’s intended notification in accordance with section 3.2 to the Bundeskartellamt at least 12 working days prior to its transmission to GMP customers with a billing address in the European Economic Area.  </w:t>
        <w:br/>
        <w:t xml:space="preserve">No Circumvention  </w:t>
        <w:br/>
        <w:t xml:space="preserve">5.1 Google will not, directly or indirectly, circumvent or attempt to circumvent these Commitments by any act or omission. For the avoidance of doubt, Google will refrain from withdrawing GMP Services from the scope of the Commitments by distributing them separately from GMP. Should Google rename GMP or withdraw a GMP Service and create a comparable offering that corresponds to that GMP Service as it was offered at the Effective Date, the Commitments will also apply to this offering.  </w:t>
        <w:br/>
        <w:t>3</w:t>
      </w:r>
    </w:p>
    <w:p>
      <w:r>
        <w:t xml:space="preserve">Confidential  </w:t>
        <w:br/>
        <w:t xml:space="preserve">5.2 Notwithstanding section 5.1, the following shall not constitute a circumvention of the Commitments:  </w:t>
        <w:br/>
        <w:t xml:space="preserve">i) Changes to GMP Services including updates, improvements, discontinuations, or other modifications;  </w:t>
        <w:br/>
        <w:t xml:space="preserve">ii) Restrictions of the usage of GMP Services (a) that are in testing or market validation phase, or (b) to use without any map, whether a Google Map or a third-party map; and/or (c) to protect against the risk of injury, death, or property damage;  </w:t>
        <w:br/>
        <w:t xml:space="preserve">iii) Prohibiting customers from re-distributing GMP Services separately or passing them off as their own;  </w:t>
        <w:br/>
        <w:t xml:space="preserve">iv) Offering additional GMP Services for use only in IVI Systems; and  </w:t>
        <w:br/>
        <w:t xml:space="preserve">v) Refusing direct contracts with Suppliers who do not have a billing address in the European Economic Area.  </w:t>
        <w:br/>
        <w:t xml:space="preserve">Term  </w:t>
        <w:br/>
        <w:t xml:space="preserve">6.1 The Commitments will remain in force for ten years from the Effective Date.  </w:t>
        <w:br/>
        <w:t xml:space="preserve">6.2 Google is free to ask the Bundeskartellamt to revoke, in whole or in part, or modify the decision by which these Commitments are declared binding, or release Google from individual Commitments if the circumstances that formed the basis for these Commitments have changed significantly. Google understands that section 6.2 does not constitute any right to any such decision.  </w:t>
        <w:br/>
        <w:t>4</w:t>
      </w:r>
    </w:p>
    <w:p>
      <w:r>
        <w:rPr>
          <w:b/>
        </w:rPr>
        <w:t>[Pages 28–28]</w:t>
      </w:r>
    </w:p>
    <w:p>
      <w:r>
        <w:t xml:space="preserve">Confidential  </w:t>
        <w:br/>
        <w:t xml:space="preserve">Annex - Text of the ToS clauses relevant to the Commitments  </w:t>
        <w:br/>
        <w:t xml:space="preserve">3.2.3(d) of the ToS:  </w:t>
        <w:br/>
        <w:t xml:space="preserve">No Re-Creating Google Products or Features. Customer will not use the Services to create a product or service with features that are substantially similar to or that re-create the features of another Google product or service. Customer’s product or service must contain substantial, independent value and features beyond the Google products or services. For example, Customer will not: (i) re-distribute the Google Maps Core Services or pass them off as if they were Customer’s services; (ii) use the Google Maps Core Services to create a substitute of the Google Maps Core Services, Google Maps, or Google Maps mobile apps, or their features; (iii) use the Google Maps Core Services in a listings or directory service or to create or augment an advertising product; (iv) combine data from the Directions API, Geolocation API, and Maps SDK for Android to create real-time navigation functionality substantially similar to the functionality provided by the Google Maps for Android mobile app.  </w:t>
        <w:br/>
        <w:t xml:space="preserve">3.2.3(e) of the ToS:  </w:t>
        <w:br/>
        <w:t xml:space="preserve">No Use With Non-Google Maps. To avoid quality issues and/or brand confusion, Customer will not use the Google Maps Core Services with or near a non-Google Map in a Customer Application. For example, Customer will not (i) display or use Places content on a non-Google map, (ii) display Street View imagery and non-Google maps on the same screen, or (iii) link a Google Map to non-Google Maps content or a non-Google map.  </w:t>
        <w:br/>
        <w:t xml:space="preserve">3.2.3(h) of the ToS:  </w:t>
        <w:br/>
        <w:t xml:space="preserve">No Use in Embedded Vehicle Systems. Customer will not use the Google Maps Core Services in connection with any Customer Application or device embedded in a vehicle. For example, Customer will not create a Customer Application that (i) is embedded in an in-dashboard automotive infotainment system; and (ii) allows End Users to request driving directions from the Directions API.  </w:t>
        <w:br/>
        <w:t xml:space="preserve">* * *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