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German</w:t>
      </w:r>
    </w:p>
    <w:p>
      <w:r>
        <w:t>Source URL       : http://www.bundeskartellamt.de/SharedDocs/Entscheidung/DE/Fallberichte/Kartellverbot/2016/B7-27-15.pdf;jsessionid=5A98584755EE6D766ACE9B0C9E1EE389.2_cid378?__blob=publicationFile&amp;v=4</w:t>
      </w:r>
    </w:p>
    <w:p>
      <w:r>
        <w:t>Pages translated : 6</w:t>
      </w:r>
    </w:p>
    <w:p/>
    <w:p>
      <w:r>
        <w:rPr>
          <w:b/>
        </w:rPr>
        <w:t>[Pages 1–3]</w:t>
      </w:r>
    </w:p>
    <w:p>
      <w:r>
        <w:t>Case Report December 21, 2016</w:t>
        <w:br/>
        <w:t>Pricing Model for FM Antenna Mounting Areas of Deutsche Funkturm GmbH, Münster</w:t>
        <w:br/>
        <w:t>Industry: Transmission Sites (Radio Towers and Other Antenna Carriers)</w:t>
        <w:br/>
        <w:t>File Number: B7-27/15</w:t>
        <w:br/>
        <w:t>Date: December 8, 2016</w:t>
        <w:br/>
        <w:t>The Federal Cartel Office has terminated the antitrust administrative procedure initiated in January 2015 against Deutsche Funkturm GmbH, Münster (hereinafter: DFMG). The authority investigated the suspicion of abusive behavior by DFMG in the leasing of areas to antenna carriers suitable for the installation of terrestrial FM antennas at heights exceeding 100 meters (hereinafter: antenna mounting areas). According to preliminary assessment, DFMG holds a dominant market position in this regard. Certain structural elements of the proposed pricing model were found, according to the preliminary assessment of the decision division, to violate the prohibition of abuse of a dominant market position. Since DFMG has made significant changes to its pricing structure, the procedure could be terminated.</w:t>
      </w:r>
    </w:p>
    <w:p>
      <w:r>
        <w:t>I Facts</w:t>
        <w:br/>
        <w:t>1 Market Environment</w:t>
        <w:br/>
        <w:t>In terrestrial FM broadcasting, a radio broadcaster typically compiles its program from various content for which it is legally responsible. It commissions a broadcasting network operator for the program distribution. This operator leases areas on antenna carriers (especially on masts and radio towers) from operators of transmission sites to install FM radio antennas. Alternatively, it uses the services of another broadcasting network operator, typically the access-regulated services of Media Broadcast GmbH (hereinafter: MBG). DFMG is a wholly-owned subsidiary of Deutsche Telekom AG (hereinafter: DTAG). It operates more than 20,000 transmission sites nationwide for mobile, directional, and/or broadcasting. The vast majority of private FM radio frequencies are transmitted via its transmission sites. The FM segment accounts for a low double-digit million revenue at DFMG.</w:t>
      </w:r>
    </w:p>
    <w:p>
      <w:r>
        <w:t>MBG is by far the leading private broadcasting network service provider. In addition to its predominant position in the terrestrial transmission of private FM radio frequencies, the company is also a platform and network operator for DVB-T2. MBG was originally part of DTAG. In 2008, it was sold to a third party. With the sale of MBG, long-term lease agreements between DFMG and MBG for antenna mounting areas at DFMG transmission sites were agreed upon.</w:t>
      </w:r>
    </w:p>
    <w:p>
      <w:r>
        <w:t>2 Regulatory Environment</w:t>
        <w:br/>
        <w:t>With the amendment of the Telecommunications Act (hereinafter: TKG) in 2012, radio broadcasters were granted the free choice of broadcasting network operators as of January 1, 2016. Since 2014, the Federal Network Agency (hereinafter: BNetzA) has been regulating access to the FM antennas of MBG and the corresponding fees. It had previously concluded in a market analysis that MBG possesses considerable market power in the national market for the use of FM antennas and the national market for the provision of terrestrial transmission facilities for the transmission of analog FM radio signals in relation to radio broadcasters within the meaning of § 11 TKG. However, the segment of antenna mounting areas preceding the FM antennas is not regulated by BNetzA. BNetzA holds the view that transmission sites are not covered by the TKG and thus there is no regulatory authority. Therefore, only antitrust law applies to this segment. The Act Against Restraints of Competition (hereinafter: GWB) does not provide for regulations comparable to the TKG regarding fee regulation; however, the behavior and pricing of a dominant company are subject to general abuse supervision (§§ 18 - 20 GWB, Art. 102 Treaty on the Functioning of the European Union).</w:t>
      </w:r>
    </w:p>
    <w:p>
      <w:r>
        <w:t>3 Initial Pricing Model</w:t>
        <w:br/>
        <w:t>In response to the increasing demand for alternative broadcasting network service providers, DFMG developed a nationwide uniform pricing system in 2014/2015. This consisted, on the one hand, of a base rent that increased significantly with height for each tenant of antenna mounting areas. On the other hand, a space rent in the form of a fee per square meter of wind resistance area of the installed FM antenna, which also increased with height, was required. The price demanded per square meter decreased with the total wind resistance area caused by FM antennas at the site by the tenant.</w:t>
      </w:r>
    </w:p>
    <w:p>
      <w:r>
        <w:t>(Quantity Discounts). The sum of the base rent and area rent was ultimately to be multiplied by a factor dependent on the number of inhabitants reachable by the antenna carrier. The historically developed pricing structure previously agreed upon between DFMG and MBG differed from this but was to be converted to this system.</w:t>
      </w:r>
    </w:p>
    <w:p>
      <w:r>
        <w:t>II Antitrust Assessment</w:t>
        <w:br/>
        <w:t>In its preliminary assessment of the initial pricing model, the decision division assumed that both the base rents charged from a height of 100 meters and the degression in rent for larger wind resistance areas, due to their specific design, led to an unreasonable impediment to competitors of MBG (§§ 19 para. 2 no. 1, 20 para. 1 GWB). The price differentiation according to the inhabitant factor represented, according to the preliminary assessment of the decision division, an exploitative abuse to the detriment of radio broadcasters at transmission sites with high reach (§ 19 para. 2 no. 2 and 3 GWB).</w:t>
      </w:r>
    </w:p>
    <w:p>
      <w:r>
        <w:t>1 Considerations and Procedural Design</w:t>
        <w:br/>
        <w:t>The decision division opened the administrative procedure in 2015 to investigate the indications of unequal treatment between MBG and alternative broadcasting network operators that emerged in the preceding regulatory procedure of BNetzA, as well as the allegations of excessive prices raised by customers. This investigation aimed to secure the competitive opportunities for broadcasting network operators opened up by the TKG amendment and market regulation. Since it is a market segment with only limited revenue, while simultaneously affecting a high number of diverse FM transmission sites, where typically the likelihood of alternative options decreases with increasing height of the antenna carrier and at the same time antenna rents increase with height, the decision division limited the procedure to antenna mounting areas from 100 meters height as the area with the presumed greatest potential for harm.</w:t>
      </w:r>
    </w:p>
    <w:p>
      <w:r>
        <w:t>2 Dominant Market Position</w:t>
        <w:br/>
        <w:t>The decision division assumes, according to preliminary assessment, that DFMG holds a dominant market position regarding the antenna mounting areas relevant to the procedure. This is supported by the very high share of FM frequencies of private radio operators coordinated on DFMG transmission sites for decades. A change of location is regularly associated with the costs of new, sometimes international frequency coordination and is rarely observed. Particularly regarding transmission sites over 100 meters mounting height, there is often a lack of equivalent alternative options from which the media law-mandated supply area could be reached. Switching to sites of significantly different heights is generally excluded due to topography, physical properties of the frequency, and media law requirements regarding range. To the extent that in individual cases transmission sites of public broadcasters with suitable mounting areas are available, these exert only very limited competitive pressure. These companies seem...</w:t>
      </w:r>
    </w:p>
    <w:p>
      <w:r>
        <w:rPr>
          <w:b/>
        </w:rPr>
        <w:t>[Pages 4–6]</w:t>
      </w:r>
    </w:p>
    <w:p>
      <w:r>
        <w:t>to behave more as price followers of DFMG rather than as active competitors who want to challenge the market position of DFMG in favor of improving their own capacity utilization. This may be because their core task is to transmit the frequencies of the competing public broadcasters. Duplication of individual transmission sites by other providers appears regularly uneconomical due to the capacities existing at DFMG and the radio frequencies already concentrated at the sites. The number of available FM frequencies is considered to be nearly exhausted, so no competition regarding new FM frequencies is expected. For the network densification observed, for example, in mobile communications, antennas of lower heights are typically used.</w:t>
      </w:r>
    </w:p>
    <w:p>
      <w:r>
        <w:t>3 Assessment of the Model Structure</w:t>
      </w:r>
    </w:p>
    <w:p>
      <w:r>
        <w:t>In assessing the model structure, it must be assumed that, in principle, a market-strong company also has an interest in further customers with limited demand power, which could initially argue against an impediment to these in relation to an established demander. In the present case, however, particularly due to the common corporate history with DFMG, a special position of MBG may exist, as DFMG agreed on the rental prices with MBG as part of the sale of MBG in the long term, making them relevant to the sale price.</w:t>
      </w:r>
    </w:p>
    <w:p>
      <w:r>
        <w:t>The decision division did not raise any fundamental objections to the use of a nationwide uniform pricing system, as long as it generally approximates an abstract cost allocation based on the cause. Wind resistance area and mounting height of the FM antenna have such a cost reference, as there is a connection between the height and statics of the antenna carrier required for FM transmission and the (fixed) costs associated with the antenna carrier.</w:t>
      </w:r>
    </w:p>
    <w:p>
      <w:r>
        <w:t>4 Base Rent</w:t>
      </w:r>
    </w:p>
    <w:p>
      <w:r>
        <w:t>The decision division also followed DFMG's presentation that a base fee to cover FM-specific costs at locations with low area utilization is necessary within the framework of the abstracted pricing model for an economic operation. However, at locations used by several radio broadcasters (hereinafter: multi-frequency locations), the base fee, due to its height (of up to around 25,000 EUR per year), could have led to the exclusion of alternative demanders. A competitively viable offer compared to the established provider could only have been made if several radio broadcasters were to switch to an alternative broadcasting network operator simultaneously. This is not to be expected in the young market – especially in light of the historically limited willingness of radio broadcasters to switch. Therefore, the decision division assumed an impediment to the market activities of alternative broadcasting network operators. Since, from the perspective of the decision division, no corresponding service in terms of amount and no cost savings or efficiency gains of DFMG in connection with the base rent were recognizable, it considered the impediment to be unreasonable in its preliminary assessment.</w:t>
      </w:r>
    </w:p>
    <w:p>
      <w:r>
        <w:t>Without sharing this preliminary legal opinion, DFMG significantly reduced the base fees compared to the pricing model it initially pursued. In the context of a market test, however, alternative broadcasting network operators pointed out that even with a uniformly reduced base rent of 7,000 EUR per year, market access at multi-frequency locations was denied to them. Subsequently, DFMG changed the base fee so that the total of the base fees at multi-frequency locations only moderately increases with the rising number of tenants. From the perspective of the decision division, there are no longer any competitive concerns associated with this design of the base fee.</w:t>
      </w:r>
    </w:p>
    <w:p>
      <w:r>
        <w:t>5 Quantity Discounts</w:t>
      </w:r>
    </w:p>
    <w:p>
      <w:r>
        <w:t>The reduction of prices per square meter of caused wind resistance depending on the total wind resistance area caused by the tenant at the transmission site also appeared, from the perspective of the decision division, in its specific design to be suitable for hindering market entry of alternative broadcasting network operators at multi-frequency locations, who would have to transmit a single frequency via a smaller antenna with typically lower wind resistance area at a significantly higher square meter price. Again, from the perspective of the decision division, no corresponding cost savings or efficiency gains (such as economies of scale) of DFMG or any other justification were recognizable, so this impediment was also considered unreasonable in the preliminary assessment.</w:t>
      </w:r>
    </w:p>
    <w:p>
      <w:r>
        <w:t>Without sharing this preliminary legal opinion, DFMG no longer differentiates in the calculation of prices based on the total wind resistance area caused by FM antennas at the site by the respective tenant, but introduces a uniform square meter price per height cluster. Thus, from the perspective of the decision division, the aforementioned aspects of an abusive pricing structure were eliminated.</w:t>
      </w:r>
    </w:p>
    <w:p>
      <w:r>
        <w:t>6 Inhabitant Factor</w:t>
      </w:r>
    </w:p>
    <w:p>
      <w:r>
        <w:t>The decision division also expressed doubts about the intended price differentiation based on the number of reachable inhabitants. In competition with sufficient switching options for demanders (here: broadcasting service providers/indirectly radio broadcasters), the price for an input factor (here: mounting area on an antenna carrier) typically does not depend on the value of the end product (here: advertising revenues of the private radio broadcaster dependent on the number of reached/reachable listeners), but on the costs of the input factor. The decision division provisionally assumed that the price differentiation based on the inhabitants reachable from the transmission site at the intended level does not reflect any relevant cost differences for a transmission site operator. Since the rent for antenna mounting areas at high-reach transmission sites with typically particularly valuable frequencies should be several times above the price at which DFMG wanted to provide its services at similar locations with a low number of reachable inhabitants, the decision division, in its preliminary assessment, assumed an abusive exploitation of radio broadcasters at locations in densely populated areas.</w:t>
      </w:r>
    </w:p>
    <w:p>
      <w:r>
        <w:t>DFMG does not share this preliminary legal opinion, but it refrained from introducing an inhabitant factor.</w:t>
      </w:r>
    </w:p>
    <w:p>
      <w:r>
        <w:t>7 Suspicions of Excessive Rental Prices</w:t>
      </w:r>
    </w:p>
    <w:p>
      <w:r>
        <w:t>Finally, the decision division examined the question of whether the prices demanded by DFMG are excessive. To this end, the decision division reviewed DFMG's information on the costs and revenues of providing suitable high antenna carriers for FM broadcasting. Given the often encountered mixed use of transmission sites (mobile communications, FM, DVB-T2, DAB+, microwave), the question of the technology-appropriate allocation of the prevailing fixed costs at transmission sites was of particular interest. Eleven locations in Baden-Württemberg were subjected to an in-depth examination. However, neither in the allocation of fixed costs nor in DFMG's depreciation approaches did the investigations yield concrete indications of abusive behavior. Therefore, the suspicion of exploitative abuse could not be substantiated.</w:t>
      </w:r>
    </w:p>
    <w:p>
      <w:r>
        <w:t>8 Conclusion</w:t>
      </w:r>
    </w:p>
    <w:p>
      <w:r>
        <w:t>The concerns related to the pricing model structure could be resolved through changes on the part of DFMG. A further investigation into the level of rental prices would have required a comprehensive analysis of the costs and revenues of a larger number of transmission sites. In the exercise of its discretionary power and in light of DFMG's limited revenues in this segment, the decision division decided to refrain from such an investigation and to terminate the proceedings. The ongoing regulatory procedure of BNetzA regarding the fees of MBG, into which the rental prices charged by DFMG flow as pre-service prices, also spoke for a timely conclusion of the proceedings.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