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https://www.bundeskartellamt.de/SharedDocs/Entscheidung/DE/Fallberichte/Fusionskontrolle/2018/B7-31-17.pdf?__blob=publicationFile&amp;v=2</w:t>
      </w:r>
    </w:p>
    <w:p>
      <w:r>
        <w:t>Pages translated : 3</w:t>
      </w:r>
    </w:p>
    <w:p/>
    <w:p>
      <w:r>
        <w:rPr>
          <w:b/>
        </w:rPr>
        <w:t>[Pages 1–3]</w:t>
      </w:r>
    </w:p>
    <w:p>
      <w:r>
        <w:t>Case Report January 29, 2018</w:t>
        <w:br/>
        <w:t>Federal Cartel Office examines the effects of a merger in the area of "Professional Mobile Radio" on the market position of a third party not involved in the merger</w:t>
        <w:br/>
        <w:t>Industry: Professional Mobile Radio</w:t>
        <w:br/>
        <w:t>File Number: B7-31/17</w:t>
        <w:br/>
        <w:t>Date of Withdrawal: March 24, 2017</w:t>
        <w:br/>
        <w:t>The Federal Cartel Office has conducted an in-depth examination of the acquisition of the English Sepura plc. ("Sepura") by the Chinese Hytera Communications Corporation Limited ("Hytera"). Hytera and Sepura are globally active manufacturers and providers of systems and solutions for Professional Mobile Radio.</w:t>
      </w:r>
    </w:p>
    <w:p>
      <w:r>
        <w:t>According to preliminary assessment, the project would have significantly impeded effective competition in the market for terminal devices certified for the German digital radio for authorities and organizations with security tasks ("Digitalfunk BOS"). Nevertheless, the project could ultimately be executed without control, as the companies involved no longer reached the necessary revenue thresholds during the course of the proceedings. The calculation of the revenue thresholds is based on the last financial year prior to the merger. This ended for Sepura only during the already advanced main examination proceedings. According to the audited revenues, the companies involved – unlike in previous years – no longer reached the revenue thresholds required for a control obligation. Consequently, the companies involved withdrew their application.</w:t>
      </w:r>
    </w:p>
    <w:p>
      <w:r>
        <w:t>According to preliminary assessment, the merger would have particularly adversely affected the nationwide uniform digital voice and data radio network for authorities and organizations with security tasks and the procurement of suitable mobile terminal devices (handheld radios and vehicle radios) in Germany. The Digitalfunk BOS is operated by the Federal Agency for Digital Radio of Authorities and Organizations with Security Tasks ("BDBOS"). Users are the federal and state authorities and organizations with security tasks, such as federal and state police, fire departments, or the Federal Agency for Technical Relief. While the BDBOS centrally provides the network infrastructure, the procurement of terminal devices is carried out decentrally by the respective demand carriers at the federal and state levels. Public tenders are generally conducted for this purpose. The terminal devices must be certified by the BDBOS as suitable for the Digitalfunk BOS. A prerequisite for this is, among other things, that they comply with the special performance features of the BOS digital radio. Furthermore, there must be no overriding public interests, particularly security policy concerns of the Federal Republic of Germany, opposing the issuance of the certificate.</w:t>
      </w:r>
    </w:p>
    <w:p>
      <w:r>
        <w:t>At the time of the proceedings, Sepura was one of essentially two providers whose mobile devices are permitted for use with the BOS digital radio. In addition to Sepura's devices, only devices from the non-involved Motorola and, in a very small application area, also devices from the non-involved company Airbus are certified as suitable for the BOS digital radio. Devices from the Chinese Hytera had not yet been certified by the BDBOS.</w:t>
      </w:r>
    </w:p>
    <w:p>
      <w:r>
        <w:t>Based on the findings obtained during its investigations, the Federal Cartel Office initially assumed that after the acquisition by Hytera, the BDBOS would very likely no longer certify Sepura's terminal devices and would not renew the certificates of already operational devices during the regular software updates requiring new certification. This was primarily due to security policy concerns from the responsible federal authorities regarding Hytera, as well as a corresponding administrative practice of the BDBOS. As a result, Motorola, as a third party not involved in the merger, would have remained the only significant provider of certified terminal devices in the market. A tender analysis conducted by the Federal Cartel Office in this context confirmed that Sepura had essentially only been exposed to competitive pressure from Motorola, while Airbus, due to the specific application area of its certified terminal devices and the resulting low participation in tenders, did not exert any significant competitive pressure.</w:t>
      </w:r>
    </w:p>
    <w:p>
      <w:r>
        <w:t>In its preliminary assessment, the Federal Cartel Office assumed a market for terminal devices that are certified for the BOS digital radio. Terminal devices that are not certified for the BOS digital radio were, according to the preliminary assessment of the Federal Cartel Office, not to be included in the relevant market. This applied not only to terminal devices based on a different technical standard for Professional Mobile Radio (e.g., DMR, TETRAPOL, APCO 25) but also specifically to terminal devices that, although based on the same technical standard (TETRA), do not meet the special performance features underlying the certification of the German BOS digital radio and are not certified by the BDBOS. These devices were also not to be included in the market from the perspective of supply and production adjustment flexibility. According to the investigations, even larger and economically capable manufacturers of digital radio devices would not have been able to quickly adjust their offerings to terminal devices certified for the BOS digital radio in closely related markets. This was primarily due to the significant duration of development, including the elaborate preparation and execution of the certification process at the BDBOS. Furthermore, it was unclear whether it would have been economically justifiable for the manufacturers in question to develop corresponding terminal devices for the BOS digital radio and have them certified by the BDBOS as suitable for the BOS digital radio. The manufacturers in question have not yet considered it economically viable to incur the corresponding development and certification costs.</w:t>
      </w:r>
    </w:p>
    <w:p>
      <w:r>
        <w:t>The Federal Cartel Office left the spatial market definition open in its preliminary assessment. Already substantively, there was a limitation to the providers of terminal devices that are certified for the German BOS digital radio. This allowed for an accurate assessment of the current competitive conditions in the relevant market without the need to specify a particular spatial dimension. To the extent that the assessment of potential competition from manufacturers operating in closely related markets would have been relevant to the relevant terminal device market, the Federal Cartel Office would have conducted at least a Europe-wide consideration.</w:t>
      </w:r>
    </w:p>
    <w:p>
      <w:r>
        <w:t>Whether and under what circumstances the exit of Sepura would have led to the market entry of one or more new providers in the medium term would have been of no significance for the market definition according to the preliminary assessment. Only in the context of the competitive evaluation would the question have arisen as to whether it could be expected with sufficient probability that the elimination of the competitive pressure exerted by Sepura would have been equivalently compensated by the potential market entry of one or more new providers after Sepura's exit. However, the Federal Cartel Office did not need to evaluate this question conclusively due to the other resolution of the proceedings.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