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https://www.bundeskartellamt.de/SharedDocs/Entscheidung/DE/Fallberichte/Fusionskontrolle/2011/B7-38-11.pdf?__blob=publicationFile&amp;v=6</w:t>
      </w:r>
    </w:p>
    <w:p>
      <w:r>
        <w:t>Pages translated : 2</w:t>
      </w:r>
    </w:p>
    <w:p/>
    <w:p>
      <w:r>
        <w:rPr>
          <w:b/>
        </w:rPr>
        <w:t>[Pages 1–2]</w:t>
      </w:r>
    </w:p>
    <w:p>
      <w:r>
        <w:t xml:space="preserve">1  </w:t>
        <w:br/>
        <w:t xml:space="preserve">Case Report January 25, 2012  </w:t>
        <w:br/>
        <w:t xml:space="preserve">Violation of the Execution Prohibition by Establishing a Joint Venture Abroad  </w:t>
        <w:br/>
        <w:t xml:space="preserve">Sector: Distribution of Integrated Data Centers (IT Hardware)  </w:t>
        <w:br/>
        <w:t xml:space="preserve">File Number: B 7 – 38/11  </w:t>
        <w:br/>
        <w:t xml:space="preserve">Date of Decision: August 4, 2011  </w:t>
        <w:br/>
        <w:t xml:space="preserve">The Federal Cartel Office conducted a divestiture procedure against EMC Corporation, Hopkinton/USA, ("EMC") and Cisco Systems Inc., San José/USA, ("Cisco") due to the unreported establishment of a joint venture. Since the merger does not raise any competitive concerns, the procedure was discontinued. Due to only minor effects in Germany, no fine was imposed in this case.  </w:t>
        <w:br/>
        <w:t xml:space="preserve">The joint venture, now operating under the name VCE Company LLC, Franklin/USA, ("VCE"), was established by EMC and Cisco in 2009 – under a different name – in the USA and was intended to engage in consulting and distribution of so-called "Integrated Data Centers."  </w:t>
        <w:br/>
        <w:t xml:space="preserve">The establishment of the joint venture was subject to notification under the provisions of German merger control and should not have been carried out without prior approval from the Federal Cartel Office. The involved companies EMC and Cisco generated significant revenues not only worldwide but also in Germany, which were well above the revenue thresholds of German merger control.  </w:t>
        <w:br/>
        <w:t xml:space="preserve">The merger also had domestic effects, as EMC and Cisco have branches in Germany and the joint venture was to operate in a global market in the field of information technology. Although the joint venture initially operated only in the USA, the company's articles of association did not limit its geographical scope, even though the company did not initially perform all functions that were assigned to it under the articles of association. Effects in Germany or on the activities of the German subsidiaries were to be expected. Even if the establishment of the joint venture did not suggest any domestic effects, EMC and Cisco would have had to notify the merger to the Federal Cartel Office before they transferred further assets to the joint venture in 2010 and expanded its activities to Europe.  </w:t>
        <w:br/>
        <w:t xml:space="preserve">The examination in the divestiture procedure is not time-bound; the Federal Cartel Office has the same investigative powers as in merger control. The substantive examination by the Federal Cartel Office concluded that the merger did not establish or strengthen a dominant market position in a possible market for Integrated Data Centers or in the individual markets for its components (servers, storage, virtualization solutions, networking equipment). Therefore, the divestiture procedure was discontinued in August 2011.  </w:t>
        <w:br/>
        <w:t>In this case, the Federal Cartel Office refrained from initiating an administrative offense procedure due to a violation of the execution prohibition for discretionary reasons. A violation of the execution prohibition can be punished with a fine of up to 10% of the worldwide annual turnover of the group. The Federal Cartel Office considered a violation to be proven. In particular, the globally operating companies EMC and Cisco were aware of the notification requirements of German merger control and the significance of the execution prohibition from previous merger cases at the Federal Cartel Office. The failure to notify was therefore to be regarded as at least a negligent violation. In its decision against the initiation of an administrative offense procedure, the Federal Cartel Office, in exercising its discretion, took into account, among other things, the history of the merger and the relatively minor significance of the joint venture for the market in relation to the revenues.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