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https://www.bundeskartellamt.de/SharedDocs/Entscheidung/DE/Entscheidungen/Kartellverbot/2015/B7-46-13.pdf;jsessionid=20553FEA2B44D645C2A3AD058388DBF4.1_cid380?__blob=publicationFile&amp;v=2</w:t>
      </w:r>
    </w:p>
    <w:p>
      <w:r>
        <w:t>Pages translated : 41</w:t>
      </w:r>
    </w:p>
    <w:p/>
    <w:p>
      <w:r>
        <w:rPr>
          <w:b/>
        </w:rPr>
        <w:t>[Pages 1–3]</w:t>
      </w:r>
    </w:p>
    <w:p>
      <w:r>
        <w:t>7. Decision Division</w:t>
        <w:br/>
        <w:t>B 7 – 46/13</w:t>
        <w:br/>
        <w:t>ADMINISTRATIVE PROCEDURE</w:t>
        <w:br/>
        <w:t>DECISION</w:t>
        <w:br/>
        <w:t>PURSUANT TO § 32C GWB</w:t>
        <w:br/>
        <w:t>– Public Version –</w:t>
        <w:br/>
        <w:t>Decision</w:t>
        <w:br/>
        <w:t>In the administrative procedure</w:t>
        <w:br/>
        <w:t>1. Telefónica Germany GmbH &amp; Co. OHG</w:t>
        <w:br/>
        <w:t>Georg-Brauchle-Ring 23-25</w:t>
        <w:br/>
        <w:t>80992 Munich</w:t>
        <w:br/>
        <w:t>– Participant 1 –</w:t>
        <w:br/>
        <w:t>Authorized representatives:</w:t>
        <w:br/>
        <w:t>BBORS Kreuznacht Attorneys at Law</w:t>
        <w:br/>
        <w:t>Dr. Carolin Küll, LL.M.</w:t>
        <w:br/>
        <w:t>Immermannstr. 40</w:t>
        <w:br/>
        <w:t>40210 Düsseldorf</w:t>
        <w:br/>
        <w:t>2. Telekom Deutschland GmbH</w:t>
        <w:br/>
        <w:t>Landgrabenweg 151</w:t>
        <w:br/>
        <w:t>53227 Bonn</w:t>
        <w:br/>
        <w:t>– Participant 2 –</w:t>
      </w:r>
    </w:p>
    <w:p>
      <w:r>
        <w:t>- 2 -</w:t>
        <w:br/>
        <w:t>to examine provisions of the cooperation agreements pursuant to § 1 of the Act against Restraints of Competition1 (GWB), Art. 101 TFEU, the 7th Decision Division of the Federal Cartel Office decided on November 4, 2014:</w:t>
        <w:br/>
        <w:t>I. Subject to new findings, there is no reason for the Decision Division to take action based on the cooperation agreements concluded between Participant 1 and Participant 2 on December 20, 2013.</w:t>
        <w:br/>
        <w:t>II. The fee for this decision is set at</w:t>
        <w:br/>
        <w:t>€ […]</w:t>
        <w:br/>
        <w:t>and is imposed on Participants 1 and 2 as joint debtors.</w:t>
        <w:br/>
        <w:t>1 Act against Restraints of Competition as published on June 26, 2013 (BGBl. I p. 1750).</w:t>
      </w:r>
    </w:p>
    <w:p>
      <w:r>
        <w:t>- 3 -</w:t>
        <w:br/>
        <w:t>Reasons</w:t>
        <w:br/>
        <w:t>A. Summary</w:t>
        <w:br/>
        <w:t>(1) Telekom and Telefónica have submitted cooperation agreements based on which they will work more closely together in the future to offer fast broadband connections. Telefónica wishes to offer its customers broadband connections with faster transmission (so-called NGA connections, particularly VDSL vectoring), which it cannot economically achieve alone. Telekom states that it can achieve the broadband expansion with "faster" connections in already developed areas more quickly through the cooperation.</w:t>
        <w:br/>
        <w:t>(2) The participants are already connected through a wholesale relationship. Telekom is regulatory obligated to grant its competitors access to its telecommunications network and to offer corresponding wholesale services. Telefónica owns its own core network and transport network. It has previously rented the local loop (TAL) from Telekom and connected main distribution frames (MDF) with its own technology to be able to offer broadband connections to end customers. Telefónica has now decided to abandon its technology and infrastructure at the main distribution frames (so-called TAL platform) and instead will offer broadband connections in the future through Telekom's Bitstream wholesale product. For Bitstream access, it requires less of its own network infrastructure than for access to the local loop.</w:t>
        <w:br/>
        <w:t>(3) The contractual framework consists of the NGA Migration Agreement and the NGA Transformation Agreement. The NGA Migration Agreement stipulates that Telefónica will acquire the fast Bitstream connections as part of a discount model (so-called contingent model). It can rent wholesale services for a certain period at a reduced monthly fee compared to the previous regulatory price (so-called standard offer), provided it pays a lump sum in advance (so-called upfront payment). The NGA Migration Agreement can be concluded by all interested customers with Telekom. It represents an extension of the already regulatory recognized VDSL contingent model to faster NGA connections.</w:t>
      </w:r>
    </w:p>
    <w:p>
      <w:r>
        <w:rPr>
          <w:b/>
        </w:rPr>
        <w:t>[Pages 4–6]</w:t>
      </w:r>
    </w:p>
    <w:p>
      <w:r>
        <w:t>- 4 -</w:t>
        <w:br/>
        <w:t>(4) Telekom and Telefónica have also made individual agreements in the NGA Transformation Agreement. Telefónica will no longer continue its technology and infrastructure at Telekom's main distribution frames in the medium term. Instead, it will take a gradually increasing minimum quota of wholesale connections from Telekom and transfer its new and existing customers to Telekom's infrastructure (so-called soft and hard migration).</w:t>
      </w:r>
    </w:p>
    <w:p>
      <w:r>
        <w:t>(5) The Federal Network Agency had already examined the fees agreed upon in the contracts for abusive practices. It did not initiate any proceedings regarding the NGA Migration Agreement after Telekom made improvements. It discontinued the expedited procedure for the subsequent fee control of the NGA Transformation Agreement.</w:t>
      </w:r>
    </w:p>
    <w:p>
      <w:r>
        <w:t>(6) The Federal Cartel Office has now investigated to what extent the cooperation leads to a noticeable restriction of infrastructure competition between the parties and against third parties, as well as a competition-restricting exchange of information. The examination has shown that, based on the information available, there are no competitive concerns under § 1 GWB, Art. 101 TFEU.</w:t>
      </w:r>
    </w:p>
    <w:p>
      <w:r>
        <w:t>(7) For this assessment, it was crucial to determine what competitive situation would have existed without the questioned behavior. Telefónica credibly demonstrated that the fixed network business on a TAL basis […]. Telefónica is thus already to be seen as a provider that, independent of the cooperation, would not further expand its network to customers and […]. Telefónica has also sufficiently demonstrated that it […]. The NGA cooperation with Telekom remained the only solution to be able to offer fast broadband connections in the near future.</w:t>
      </w:r>
    </w:p>
    <w:p>
      <w:r>
        <w:t>(8) The planned intensive technical collaboration between the parties is accompanied by a far-reaching exchange of information. The respective regulations are, in the opinion of the Federal Cartel Office, subordinate to the implementation of the cooperation and inseparably linked to it. Without the agreed exchange of information, the cooperation would be difficult or, in the case of some regulations, even impossible to implement. The Federal Cartel Office has therefore concluded that the contractually agreed exchange of information between the parties is to be regarded as a side agreement that is directly connected to the main agreement, necessary, and appropriate.</w:t>
      </w:r>
    </w:p>
    <w:p>
      <w:r>
        <w:t>(9) The cooperation agreements thus do not give rise to any action by the Federal Cartel Office.</w:t>
      </w:r>
    </w:p>
    <w:p>
      <w:r>
        <w:t>(10) The Federal Cartel Office cannot rule out that the NGA cooperation between Telekom and Telefónica also brings efficiency advantages. This did not need to be examined. If Telefónica should decide to expand further on its own, or if the parties should significantly change their cooperation, any efficiencies and the further exemption requirements under § 2 GWB, Art. 101 (3) TFEU would need to be examined closely. Without doing this in detail here, some general statements regarding the assessment criteria for the exemption requirements can be made for this case as well as for any further cooperation between telecommunications companies. These are based on the guidelines for the competition law assessment of cooperations in fiber optic expansion in Germany issued by the Federal Cartel Office in January 2010.</w:t>
      </w:r>
    </w:p>
    <w:p>
      <w:r>
        <w:t>(11) However, the competitive environment has changed in the last four years. In the meantime, competitors of Telekom have decided to forgo further self-expansion and instead cooperate with Telekom. Unlike what was still considered possible in 2010, there will not initially be parallel copper or fiber optic networks in broadband expansion across the board. The willingness to pay from customers apparently cannot currently finance the necessary investments. This market development is also reflected in the regulatory decision of the Federal Network Agency regarding vectoring2 as well as various regulatory recommendations from the European Commission. This development can be taken into account with the present decision – in further development of the examination guidelines from January 2010. This also results in certain benchmarks for possible further NGA cooperations.</w:t>
      </w:r>
    </w:p>
    <w:p>
      <w:r>
        <w:t>2 See Decision BK3a-12/131 of the Federal Network Agency dated August 29, 2013.</w:t>
      </w:r>
    </w:p>
    <w:p>
      <w:r>
        <w:t>- 6 -</w:t>
        <w:br/>
        <w:t>B. Facts</w:t>
        <w:br/>
        <w:t>I. Involved Companies</w:t>
        <w:br/>
        <w:t>(12) Telekom Deutschland GmbH, Bonn ("Telekom") has a nationwide telecommunications infrastructure, on the basis of which it offers publicly accessible telephone services and broadband data services via DSL technology. Since the liberalization of the telecommunications markets, it has been subject to regulation by the Federal Network Agency ("BNetzA"). The fixed network markets for unbundled access to the local loop, interconnection and connection establishment, interconnection and call delivery in the fixed network, bitstream access market, leased lines, and access for end customers to the fixed network are regulated.3</w:t>
      </w:r>
    </w:p>
    <w:p>
      <w:r>
        <w:t>(13) In addition, Telekom is active in various non-regulated areas of telecommunications. This includes the provision of transport services in the IP backbone and IP interconnection as well as the wholesale product WIA (Wholesale Internet Access) for internet access.</w:t>
      </w:r>
    </w:p>
    <w:p>
      <w:r>
        <w:t>(14) Telefónica Deutschland GmbH &amp; Co. OHG, Munich ("Telefónica") is indirectly controlled by the Spanish Telefónica S.A. Telefónica S.A. operates as a telecommunications provider in South America and Europe, particularly in Spain, Ireland, the Czech Republic, the United Kingdom, and Slovakia, in addition to Germany.</w:t>
      </w:r>
    </w:p>
    <w:p>
      <w:r>
        <w:t>(15) Telefónica operates its own mobile network and offers mobile services to end customers and wholesale customers under various brands, particularly under "O2". The European Commission also approved the acquisition of the mobile network operator E-Plus by Telefónica on July 2, 2014, subject to conditions.4</w:t>
      </w:r>
    </w:p>
    <w:p>
      <w:r>
        <w:t>(16) Telefónica is also present in the fixed network business (telephony, internet). It leases the local loop (TAL) from Deutsche Telekom to provide services.</w:t>
      </w:r>
    </w:p>
    <w:p>
      <w:r>
        <w:rPr>
          <w:b/>
        </w:rPr>
        <w:t>[Pages 7–9]</w:t>
      </w:r>
    </w:p>
    <w:p>
      <w:r>
        <w:t>- 7 -</w:t>
        <w:br/>
        <w:t>to offer broadband connections to end customers. It markets, based on its local loop platform - i.e., through main distribution frames (MDF) equipped with its own technology - also wholesale products (resale products) for providers without their own infrastructure.</w:t>
      </w:r>
    </w:p>
    <w:p>
      <w:r>
        <w:t>(17) In the fixed network markets, Telefónica is less active than in the mobile markets. However, it operates its own core and transport network (see paragraph (25) for the term). According to its own information (as of June 2013), Telefónica's market share in the fixed network amounts to [...] while it achieves a market share of [...] in mobile communications (over 20% with LTE). It generates [...] of its revenue from the fixed network sector.5</w:t>
      </w:r>
    </w:p>
    <w:p>
      <w:r>
        <w:t>II. Project</w:t>
      </w:r>
    </w:p>
    <w:p>
      <w:r>
        <w:t>(18) Telekom and Telefónica are connected in the fixed network sector through a wholesale relationship. Telekom is regulatory obligated to grant its competitors access to its telecommunications network and to offer corresponding wholesale services. Telefónica utilizes these wholesale services to offer broadband connections to its customers. Telefónica now commits to access Telekom's infrastructure even more comprehensively. It aims to provide its customers with higher quality broadband connections through the cooperation, which it cannot achieve economically on its own. Telekom states that it can accelerate the broadband expansion for "faster" connections in already developed areas through the cooperation with Telefónica.</w:t>
      </w:r>
    </w:p>
    <w:p>
      <w:r>
        <w:t>(19) Telekom and Telefónica have submitted contracts in which they agree on a VDSL/vectoring wholesale product that Telekom will offer as a contingent model. The contingent model is a discount model for VDSL broadband access or "faster" connections (vectoring, NGA6). Customers seeking VDSL wholesale products who wish to offer broadband end customer products can book a specific contingent of connections from Telekom, for which they make a so-called upfront payment in advance.5 See Telefónica's presentation on "Fixed Network Options and Strategy" from June 19, 2013.6 Next Generation Access (see footnote 14).</w:t>
      </w:r>
    </w:p>
    <w:p>
      <w:r>
        <w:t>- 8 -</w:t>
        <w:br/>
        <w:t>This allows customers to rent VDSL wholesale services for a specific period at a reduced monthly rental fee compared to the standard offer.7</w:t>
      </w:r>
    </w:p>
    <w:p>
      <w:r>
        <w:t>(20) The contractual framework consists of the NGA Migration Agreement and the NGA Transformation Agreement.8 The NGA Migration Agreement is designed as a market offer. The offer is directed at providers who currently offer ADSL broadband products via access to the local loop (TAL) or bitstream and wish to switch to a platform for VDSL/vectoring connections or faster connections.</w:t>
      </w:r>
    </w:p>
    <w:p>
      <w:r>
        <w:t>(21) Furthermore, Telekom and Telefónica have made individual arrangements in the NGA Transformation Agreement. Telefónica will no longer continue its TAL platform at Telekom's main distribution frames in the medium term. Instead, it will take a gradually increasing minimum contingent of wholesale connections from Telekom and migrate its customers to Telekom's infrastructure. […] Telekom pays Telefónica a one-time amount, which, according to the parties, is intended to compensate for the efficiency gains associated with the now facilitated NGA expansion.</w:t>
      </w:r>
    </w:p>
    <w:p>
      <w:r>
        <w:t>III. Contingent Models for Wholesale Services for Fast Broadband End Customer Connections</w:t>
      </w:r>
    </w:p>
    <w:p>
      <w:r>
        <w:t>(22) Telecommunications providers can offer broadband connections for end customers over various infrastructures, namely DSL (digital subscriber line), coaxial cable, fiber optics, and wireless technologies as well as satellite. Most broadband connections are based on DSL technology for copper lines. DSL technology has continuously evolved over the past years. Compared to the previously widely used standard ADSL9,</w:t>
      </w:r>
    </w:p>
    <w:p>
      <w:r>
        <w:t>7 With the regulatory order of the Federal Network Agency (BNetzA) dated September 17, 2010 (BK3b-09/069), Telekom was obligated to publish a standard offer for access services in accordance with § 23 TKG.</w:t>
      </w:r>
    </w:p>
    <w:p>
      <w:r>
        <w:t>8 The parties recorded the drafts of the NGA Transformation and NGA Migration contracts in the Memorandum of Understanding for NGA Transformation and NGA Migration ("MoU") dated April 30, 2013. The contracting parties expressed their firm intention in the MoU to sign the drafts of the two NGA contracts once the conditions specified in the MoU are met.</w:t>
      </w:r>
    </w:p>
    <w:p>
      <w:r>
        <w:t>9 The basic principle of ADSL (asymmetric digital subscriber line) is based on an asymmetric transmission method. The transmission path from the network operator to the customer (downlink) and the transmission path from the customer to the network operator (uplink) each have different bandwidths. Thus, a typical internet user downloads more data from the internet than he uploads to the internet.</w:t>
      </w:r>
    </w:p>
    <w:p>
      <w:r>
        <w:t>- 9 -</w:t>
        <w:br/>
        <w:t>VDSL10 now enables significantly higher speeds. The performance of VDSL can be further enhanced through the use of vectoring (see paragraph (32)).</w:t>
      </w:r>
    </w:p>
    <w:p>
      <w:r>
        <w:t>(23) Contingent models are discount models for VDSL broadband access or "faster" connections. Customers are companies that wish to offer VDSL broadband end customer products and require a wholesale product for this purpose. They can book a specific contingent of connections from Telekom, for which they make a so-called upfront payment in advance. This allows customers to rent VDSL bitstream wholesale connections for a specific period at a reduced monthly rental fee compared to the standard offer.</w:t>
      </w:r>
    </w:p>
    <w:p>
      <w:r>
        <w:t>(24) Telekom offers contingent models for two different wholesale products: WIA Resale and Bitstream. Which wholesale product a provider of broadband DSL connections requests depends on the value creation level at which it operates, i.e., which subnetworks of a telecommunications network it possesses (see Fig. 1).</w:t>
      </w:r>
    </w:p>
    <w:p>
      <w:r>
        <w:t>Figure 1: Value Creation Levels of the Fixed Network (schematic, simplified representation)</w:t>
      </w:r>
    </w:p>
    <w:p>
      <w:r>
        <w:rPr>
          <w:b/>
        </w:rPr>
        <w:t>[Pages 10–12]</w:t>
      </w:r>
    </w:p>
    <w:p>
      <w:r>
        <w:t>- 10 -</w:t>
        <w:br/>
        <w:t>(25) The DSL connection network (local loop, last mile, access network) encompasses the part of the end customer connection from the customer modem to the DSLAM (Digital Subscriber Line Access Multiplexer) in the main distribution frame (MDF). At the DSLAM, the data traffic transmitted over the connected copper lines is converted back into digital signals and then condensed into a single signal. From the MDFs, each with at least one DSLAM, the data traffic is aggregated at the main locations (concentrated). The digital output signal is then transported via a fiber optic line in the concentrator network. The data streams of the DSL users from the concentrator network are then converted back into IP data packets on the servers at the Point of Presence (PoP) and transported over the IP backbone network (core network) to their destination on the Internet. An IP interconnection is required for the connection to the Internet.11</w:t>
      </w:r>
    </w:p>
    <w:p>
      <w:r>
        <w:t>(26) Only Telekom possesses a comprehensive telecommunications network across all value-added stages. Some regional network operators, such as M-Net or NetCologne, cover smaller areas with their own networks. Other competitors own partial networks of the telecommunications network. They can compete with Telekom by utilizing wholesale products (so-called wholesale products) from Telekom for the missing network components: competitors that only lack a connection network require access to the local loop. Competitors that additionally need transport through a concentrator network purchase so-called bitstream wholesale products. Competitors without any own infrastructure can offer broadband connections on the end customer market through the wholesale product WIA Resale (Wholesale Internet Access). They depend on the entire value chain of Telekom (see Fig. 2).12</w:t>
      </w:r>
    </w:p>
    <w:p>
      <w:r>
        <w:t>11 See Guidelines for the antitrust assessment of cooperations in fiber optic expansion in Germany, available at: http://www.bundeskartellamt.de/SharedDocs/Publication/DE/Sonstiges/Wettbewerbsrechtliche%20Bewertung%20von%20Kooperationen%20beim%20Glasfaserausbau.html?nn=3591568.</w:t>
      </w:r>
    </w:p>
    <w:p>
      <w:r>
        <w:t>12 With the product "WIA DSL," Telekom offers the wholesale products "Connection," "Transport in the concentrator network," and "Forwarding in the IP backbone" bundled with the connection to the Internet. A bitstream customer thus has more of its own infrastructure than a resale customer. Unlike the WIA product, transport over the backbone and Internet connectivity are not part of the bitstream product.</w:t>
      </w:r>
    </w:p>
    <w:p>
      <w:r>
        <w:t>- 11 -</w:t>
        <w:br/>
        <w:t>Figure 2: The wholesale products Bitstream and WIA Resale (schematic, simplified representation)</w:t>
      </w:r>
    </w:p>
    <w:p>
      <w:r>
        <w:t>(27) This development across the value-added stages represents the investment ladder (see Fig. 3). It shows the chain of (regulated) access products that allows alternative providers to invest stepwise in their own infrastructure according to their customer base, thereby realizing a higher share of their own value-added.13</w:t>
      </w:r>
    </w:p>
    <w:p>
      <w:r>
        <w:t>Figure 3: The Investment Ladder</w:t>
      </w:r>
    </w:p>
    <w:p>
      <w:r>
        <w:t>(28) In both the wholesale product WIA and Bitstream, the contingent model acts as an alternative alongside the (regulatory for Bitstream) "standard product," for which no volume discount is possible.</w:t>
      </w:r>
    </w:p>
    <w:p>
      <w:r>
        <w:t>(29) […]. To use WIA Gate, a wholesale customer must have interconnections with other Internet backbone providers. WIA Gate thus corresponds to the bitstream product with the difference that in WIA Gate, the interconnection of the networks occurs at a location of the wholesale customer and not in Telekom's network.</w:t>
      </w:r>
    </w:p>
    <w:p>
      <w:r>
        <w:t>(30) Telekom expanded the contingent models in spring 2013 to include NGA connections, including vectoring. Customers can now obtain not only VDSL connections but also upgraded connections with vectoring or NGA connections14 (next generation access, connections of the next generation) through the contingent model.</w:t>
      </w:r>
    </w:p>
    <w:p>
      <w:r>
        <w:t>(31) Telekom primarily offers its VDSL broadband products based on "Fibre to the Curb" or "Fibre to the Cabinet" (FTTC).15 In FTTC, a DSLAM is not housed in the MDF but in a specially designated enclosure (cabinet) – the so-called multifunctional enclosure (MFG). The multifunctional enclosures are located closer to the customer than the MDF (mostly where the cable distribution cabinets - KVz - are currently located). On the customer side, the 'old' copper-based connection network remains between the MFG/KVz and the house connection, and no construction measures are required. However, since the data traffic is transported via fiber optics from the DSLAM onward, the copper-based line path is shortened overall.16</w:t>
      </w:r>
    </w:p>
    <w:p>
      <w:r>
        <w:t>(32) Vectoring is a transmission technique that can increase the transmission rate of copper lines. With vectoring, crosstalk between different lines in a bundle is largely eliminated. However, the vectoring effect decreases significantly at a line length of about 500 meters. The use of vectoring is therefore only feasible from the perspective of the customer with a connection length of less than 500 meters.</w:t>
      </w:r>
    </w:p>
    <w:p>
      <w:r>
        <w:t>14 The term "NGA" (next generation access) is not always uniformly defined. Currently, NGA connections are understood to include fiber-based accesses (FTTx), advanced cable networks, and certain mobile accesses that enable high speeds for participants. Sometimes xDSL is also included under NGA, as is the case in the current contracts of Telekom and Telefónica. See Commission staff working document, implementation of the EU regulatory framework for electronic communication - 2014. NGA connections are often also referred to as connections that allow data transmission rates of at least 50 Mbit/s. See for the original definition of the term Telecommunication Standardization Sector of ITU (12/2004): ITU-T Y.2001 General overview of NGN, available at: http://www.itu.int/rec/T-REC-Y.2001-200412-I/en, as of July 24, 2014.</w:t>
      </w:r>
    </w:p>
    <w:p>
      <w:r>
        <w:t>15 In the expansion form Fibre to the Building or Fibre to the Basement (FTTB), the fiber optic is directly brought into the building (usually the basement) of the end customer. In Fibre to the Home or Fibre to the Desk (FTTH or FTTD), copper-based lines are completely eliminated, and the fiber optic is laid directly into the premises of the end customer. This expansion variant is currently hardly realized in Germany.</w:t>
      </w:r>
    </w:p>
    <w:p>
      <w:r>
        <w:t>16 See Guidelines for the antitrust assessment of cooperations in fiber optic expansion in Germany, p. 9, ibid.</w:t>
      </w:r>
    </w:p>
    <w:p>
      <w:r>
        <w:rPr>
          <w:b/>
        </w:rPr>
        <w:t>[Pages 13–15]</w:t>
      </w:r>
    </w:p>
    <w:p>
      <w:r>
        <w:t>- 13 -</w:t>
        <w:br/>
        <w:t>cabinets makes sense. A prerequisite is that it is connected to the backbone network via fiber optic or microwave. The vectoring effect only occurs if all pairs of wires in a bundle are routed through a common vectoring-capable DSLAM. Therefore, the company that wants to use vectoring must have access to all copper pairs at the cabinet. Competitors can no longer gain access.</w:t>
      </w:r>
    </w:p>
    <w:p>
      <w:r>
        <w:t>(33) Telekom Deutschland applied to the Federal Network Agency on December 19, 2012, to restrict access options for competitors to the subscriber line at the cabinet in order to be able to offer vectoring. The BNetzA announced its final decision on vectoring with rules for its use on August 29, 2013. If Telekom or one of its competitors has upgraded a cabinet, a second provider cannot demand access to the cabinet if the so-called first developer uses VDSL with or without vectoring or seriously plans to do so and offers the competitor a bitstream access. Telekom can terminate or deny access to its competitors at cabinets developed by them under certain conditions. Alternative competitors enjoy protection of their existing rights under certain conditions. The planned and then actually to be carried out VDSL expansion or vectoring use will be documented by Telekom in the so-called vectoring list under the supervision of the BNetzA.17</w:t>
      </w:r>
    </w:p>
    <w:p>
      <w:r>
        <w:t>(34) To the knowledge of the Federal Cartel Office, Telekom has not yet marketed connections based on the successor technology of vectoring – G.fast, so these have not yet been included in the contingent models and the NGA Migration Agreement.18</w:t>
      </w:r>
    </w:p>
    <w:p>
      <w:r>
        <w:t>17 See statements of the Federal Cartel Office from July 8, 2013, and February 25, 2014, regarding the decision BK3g-09/085 of March 21, 2011, "Vectoring," and the review of the amended standard offers in connection with the introduction of vectoring in the network of Telekom Deutschland GmbH (BK3d-13/056) of the Federal Network Agency. The Federal Cartel Office stated in its comments on the consultation draft and the amended standard offers that a regulation that leaves the management of the vectoring list to Telekom poses a risk factor. This is because Telekom, as the only market participant, has a constant and complete overview of all intended developments.</w:t>
      </w:r>
    </w:p>
    <w:p>
      <w:r>
        <w:t>18 With G.fast, speeds of up to 1 gigabit per second (Gbps) can be achieved at distances under 100 meters and up to 150 Mbps at distances under 250 meters. G.fast can utilize frequencies from 100 MHz to 212 MHz. G.fast is only suitable for short distances and poses some additional challenges, such as compensating for increasing crosstalk and high power requirements.</w:t>
      </w:r>
    </w:p>
    <w:p>
      <w:r>
        <w:t>- 14 -</w:t>
        <w:br/>
        <w:t>IV. Procedure</w:t>
      </w:r>
    </w:p>
    <w:p>
      <w:r>
        <w:t>(35) Possible negative competitive effects of the contingent models fall under the jurisdiction of both the Federal Network Agency and the Federal Cartel Office. The task of the Federal Network Agency is to create competitive conditions through regulation in regulated markets. The Federal Cartel Office conducts general competition oversight over competitive markets. This also includes markets that have been released from regulation.</w:t>
      </w:r>
    </w:p>
    <w:p>
      <w:r>
        <w:t>(36) The Federal Network Agency is responsible, among other things, for the regulated bitstream market.19 In 2012, Telekom initially submitted the bitstream VDSL contingent model to the Federal Network Agency. The Federal Network Agency conducted a procedure for subsequent price control, which initially led to a preliminary prohibition but was discontinued due to improvements.20</w:t>
      </w:r>
    </w:p>
    <w:p>
      <w:r>
        <w:t>(37) The Federal Cartel Office conducts competition oversight over the unregulated market for the wholesale product "WIA Resale." Therefore, after the conclusion of the Federal Network Agency's procedure, the Federal Cartel Office initially began a procedure for the WIA-VDSL contingent model and investigated the unregulated WIA market.</w:t>
      </w:r>
    </w:p>
    <w:p>
      <w:r>
        <w:t>(38) In spring 2013, Telekom expanded the contingent models to include NGA connections and regulated this in the NGA Migration Agreement. In parallel, individual agreements were also made with Telefónica in the NGA Transformation Agreement.</w:t>
      </w:r>
    </w:p>
    <w:p>
      <w:r>
        <w:t>(39) Telekom and Telefónica jointly presented the project to the Federal Cartel Office on April 29. The decision-making department initiated a procedure on May 6, 2013. A further meeting with the parties took place at the Federal Cartel Office on June 18, 2013. On June 19, 2013, the Federal Cartel Office held a one-on-one meeting with Telefónica.</w:t>
      </w:r>
    </w:p>
    <w:p>
      <w:r>
        <w:t>19 In the regulated bitstream market, the Federal Cartel Office can only act under §1 GWB, Art. 101 TFEU, or Art. 102 TFEU.</w:t>
      </w:r>
    </w:p>
    <w:p>
      <w:r>
        <w:t>20 See decision BK 3b-12/001 of the Federal Network Agency of August 7, 2012.</w:t>
      </w:r>
    </w:p>
    <w:p>
      <w:r>
        <w:t>- 15 -</w:t>
        <w:br/>
        <w:t>(40) On October 17, 2013, the Federal Network Agency initiated an expedited procedure for subsequent price control regarding the NGA Transformation Agreement. It examined whether the agreed prices were abusive according to § 28 TKG. The BNetzA subsequently suspended the procedure on December 17, 2013. In the case of the NGA Transformation Agreement, this was particularly justified by the fact that it is a risk-sharing model within the meaning of § 28 Abs. 1 S. 3 TKG and the NGA Recommendation of the Commission.21 The permanent injunction was issued by the Federal Network Agency on March 18, 2014.</w:t>
      </w:r>
    </w:p>
    <w:p>
      <w:r>
        <w:t>(41) On September 12, 2013, Telekom notified the BNetzA of the pricing measures provided for in the NGA Migration Agreement. After the public consultation, the BNetzA expressed legal concerns regarding the notified tariffs. In letters dated October 18 and 21, Telekom modified and supplemented its price notification for the NGA Migration Agreement. The BNetzA then considered its concerns to be resolved and did not initiate a procedure for subsequent price control.</w:t>
      </w:r>
    </w:p>
    <w:p>
      <w:r>
        <w:t>(42) The Federal Cartel Office requested Telefónica in a letter dated February 13, 2014, to present its arguments regarding the antitrust exemption requirements, to provide detailed information on changes to its infrastructure base and wholesale business, and to explain the information exchange between the parties in detail. Telefónica presented this both in writing and orally (meeting at the Federal Cartel Office on March 10, 2014). Following a request from the Federal Cartel Office, Telefónica submitted further internal documents regarding its strategic decisions on March 12, 2014. After reviewing the documents, the decision-making department orally informed the parties that it saw no reason to take action under § 32 GWB.</w:t>
      </w:r>
    </w:p>
    <w:p>
      <w:r>
        <w:t>21 See decision BK 3b-13/047 of the Federal Network Agency, p. 3. The European Commission emphasized in its statement of March 13, 2014, that the NGA Recommendation targets the specific investment risks associated with FTTH investments. Under certain circumstances, other NGA investments – VDSL/FTTC investments – could also exhibit similar risks that might justify analogous application. However, the European Commission urged the Federal Network Agency to elaborate in its final decision why investments in VDSL/VDSL-vectoring in Germany should be associated with risks of a similar magnitude as FTTH investments.</w:t>
      </w:r>
    </w:p>
    <w:p>
      <w:r>
        <w:rPr>
          <w:b/>
        </w:rPr>
        <w:t>[Pages 16–18]</w:t>
      </w:r>
    </w:p>
    <w:p>
      <w:r>
        <w:t>- 16 -</w:t>
        <w:br/>
        <w:t>C. The Cooperation Agreements between Telekom and Telefónica</w:t>
        <w:br/>
        <w:t>(43) The cooperation between Telekom and Telefónica is based on the NGA Migration Agreement and the NGA Transformation Agreement.22 An NGA Migration Agreement is offered by Telekom to all wholesale customers who wish to offer broadband connections themselves. Telekom further develops the VDSL contingent model with the NGA Migration Agreement. With the Migration Agreement, it aims to provide wholesale customers with price incentives to switch to "faster" wholesale products. In the NGA Transformation Agreement, Telekom and Telefónica have made individual arrangements. Telefónica will no longer continue its TAL platform at Telekom's main distribution frames in the medium term. Instead, it will obtain from Telekom a gradually increasing minimum contingent of wholesale connections and migrate its customers to Telekom's infrastructure.</w:t>
      </w:r>
    </w:p>
    <w:p>
      <w:r>
        <w:t>I. NGA Migration Agreement</w:t>
        <w:br/>
        <w:t>(44) The NGA Migration Agreement is structured as a market offer. Any interested wholesale customer can enter into this agreement with Telekom. The NGA Migration Agreement between Telekom and Telefónica builds on the regulated standard contracts for the wholesale products WIA Gate and Bitstream (IP-BSA23) as well as the contract for the VDSL contingent model24. The NGA Migration Agreement is a further development of the contingent model for faster connections than VDSL.</w:t>
      </w:r>
    </w:p>
    <w:p>
      <w:r>
        <w:t>(45) For the NGA Migration Agreement, the parties have agreed on a term until […] This corresponds to the term of the VDSL contingent model including the post-term. However, the NGA Migration Agreement excludes the contingent-related termination rights according to Section 6.1 of the VDSL contingent model. A special termination right for FTTB/H connections was introduced subsequently.25</w:t>
      </w:r>
    </w:p>
    <w:p>
      <w:r>
        <w:t>(46) The customer's acceptance obligations have been tightened compared to the contingent model. The customer of the NGA Migration Agreement commits to expand its VDSL contingent in parallel with the ongoing expansion of Telekom's NGA connections (so-called NGA coverage). The more Telekom expands "fast internet," the more connections the customer must accept. For this purpose, two threshold values are established in the NGA Migration Agreement, which increase with rising NGA coverage. Thus, the customer's VDSL contingent must comprise 70% of its existing Bitstream/WIA wholesale connections that can be supplied via NGA (relative threshold value). Furthermore, the contingent size must include 3% of the connections that Telekom supplies with VDSL or FTTH (so-called absolute threshold value). This is an addition to the VDSL contingent model. FTTH connections will be counted towards the agreed contingent size.</w:t>
      </w:r>
    </w:p>
    <w:p>
      <w:r>
        <w:t>(47) Upon conclusion of the NGA Migration Agreement, the respective VDSL contingent of the customer must be sufficiently large to meet both threshold values. It must therefore source at least 70% of all its wholesale connections from Telekom's contingent. This quantity must simultaneously correspond to at least 3% of all NGA connections of Telekom. According to Telekom, this is intended to ensure that the customer's risk participation corresponds to both the size of its own Bitstream or WIA stock and the level of Telekom's NGA coverage.26</w:t>
      </w:r>
    </w:p>
    <w:p>
      <w:r>
        <w:t>(48) Telekom grants its customers from the NGA Migration Agreement discounts on various fees. If the customer continues a part of its connections as ADSL connections, it receives a discount on the previous price for these ADSL connections (so-called standard transfer fee). The reason for this is - according to the parties - that the customer will only gradually migrate its customer base to VDSL, as the VDSL expansion and vectoring expansion also occurs stepwise.27 Telekom also grants a discount on the VDSL provisioning fee when a new VDSL expansion area is completed and the customer orders in a timely manner. In this way, according to Telekom, an incentive is to be set to quickly reduce unused capacities in the initial phase after the establishment of NGA infrastructures.28 Finally, Telekom also grants a discount on the respective provisioning fee for mass migrations from TAL to ADSL or VDSL connections.</w:t>
      </w:r>
    </w:p>
    <w:p>
      <w:r>
        <w:t>(49) Telekom informs the customer annually about the status of its VDSL and FTTH expansion. Telekom provides the customer with a list of the planned expansion by regions for the following six months and informs with a lead time of three months about the planned expansion at the KVz level.</w:t>
      </w:r>
    </w:p>
    <w:p>
      <w:r>
        <w:t>II. NGA Transformation Agreement</w:t>
        <w:br/>
        <w:t>(50) In the NGA Transformation Agreement, Telekom and Telefónica have made individual arrangements.29</w:t>
      </w:r>
    </w:p>
    <w:p>
      <w:r>
        <w:t>(51) The cooperation is initiated by the […] the details of which are regulated in the NGA Transformation Agreement.30</w:t>
      </w:r>
    </w:p>
    <w:p>
      <w:r>
        <w:t>(52) The contract also stipulates the migration of private and business customers from Telefónica to wholesale products of Telekom. The ei-</w:t>
        <w:br/>
        <w:t>27 See Telekom's letter of May 21, 2013, p. 7.</w:t>
        <w:br/>
        <w:t>28 See Telekom's letter of May 21, 2013, p. 8.</w:t>
        <w:br/>
        <w:t>29 See NGA Transformation Agreement, contract on the medium-term migration from TAL to NGA in the co-investment and risk-sharing process through sale &amp; lease back, migration and acceptance obligations dated December 20, 2013, as well as Telefónica's letter of May 17, 2013 and Telekom's letter of May 21, 2013.</w:t>
        <w:br/>
        <w:t>30 The Federal Cartel Office has examined the sale-and-lease-back transaction at the request of the parties in advance. As a result, the Federal Cartel Office could not determine any asset acquisition by Telekom, as the acquisition is not the basis of a market position. The decision-making department communicated the examination result to the parties by letter dated June 24, 2013.</w:t>
      </w:r>
    </w:p>
    <w:p>
      <w:r>
        <w:rPr>
          <w:b/>
        </w:rPr>
        <w:t>[Pages 19–21]</w:t>
      </w:r>
    </w:p>
    <w:p>
      <w:r>
        <w:t>- 19 -</w:t>
        <w:br/>
        <w:t>the wholesale customers of Telefónica are not the subject of the NGA Transformation Agreement.</w:t>
      </w:r>
    </w:p>
    <w:p>
      <w:r>
        <w:t>(53) For the so-called soft migration – the migration of new customers – the parties plan a duration of […]. It will commence on […]. From this point onward, new orders from private customers will be supplied based on wholesale products from Telekom. This includes initial DSL provisions, provider changes, and contract continuations after a move. For Telefónica […].</w:t>
      </w:r>
    </w:p>
    <w:p>
      <w:r>
        <w:t>(54) After the expiration of […], the so-called hard migration – migration of existing customers – is to begin. During the hard migration, the connections will be switched from Telefónica's TAL platform to wholesale products from Telekom. The contracting parties will initially conduct a pilot project for this purpose. The end of the hard migration is scheduled for […] after its commencement, i.e., by […].</w:t>
      </w:r>
    </w:p>
    <w:p>
      <w:r>
        <w:t>(55) Unlike the migration agreement, the NGA Transformation Agreement primarily contains NGA commitments from Telefónica and Telekom. Telekom commits to achieving an NGA coverage of […] by the end of 2014, […] by the end of 2015, and an NGA coverage of […] by 2016. The NGA coverage of […] as of December 31, 2016, shall also include at least 50% connections with bandwidths of up to 100 Mbit/s. […].</w:t>
      </w:r>
    </w:p>
    <w:p>
      <w:r>
        <w:t>(56) Telefónica commits to purchasing a specified quantity of wholesale connections for its own end customers from Telekom for each year of the ten-year contract term. Until […]. Telefónica can […] the contractually agreed purchase quantities.</w:t>
      </w:r>
    </w:p>
    <w:p>
      <w:r>
        <w:t>(57) If Telekom does not meet its commitments for the expansion of NGA coverage in a timely manner, Telefónica's purchase obligations will be reduced.</w:t>
      </w:r>
    </w:p>
    <w:p>
      <w:r>
        <w:t>(58) If Telefónica does not fulfill the annual purchase obligation, a reduced monthly fee will apply for the missing connections.31 Telefónica can purchase connection quantities that exceed the contractually bound quantities at Telekom from alternative providers.</w:t>
      </w:r>
    </w:p>
    <w:p>
      <w:r>
        <w:t>31 The exact amount of the reduced monthly fee depends on whether the purchased quantity falls within a "tolerance corridor" or not.</w:t>
      </w:r>
    </w:p>
    <w:p>
      <w:r>
        <w:t>- 20 -</w:t>
        <w:br/>
        <w:t>Telefónica can also continue to obtain higher quality NGA products from regional providers instead of the contractually agreed connection quantities. In this case, it will not incur increased costs for missing connections if the alternative provider has connected at least one-third of households with NGA connections in the respective urban area and the NGA products have higher transmission rates than those offered by Telekom in the same urban area. However, Telefónica cannot obtain unlimited NGA connections from alternative providers without having to make compensatory payments.</w:t>
      </w:r>
    </w:p>
    <w:p>
      <w:r>
        <w:t>(59) […]</w:t>
      </w:r>
    </w:p>
    <w:p>
      <w:r>
        <w:t>(60) For the services and obligations provided by Telefónica under the NGA Transformation Agreement, Telekom will pay Telefónica a […] as a share of the efficiency increase after the commencement of the soft migration. This fee consists of […] as well as […].</w:t>
      </w:r>
    </w:p>
    <w:p>
      <w:r>
        <w:t>(61) Telefónica must in turn pay Telekom […].</w:t>
      </w:r>
    </w:p>
    <w:p>
      <w:r>
        <w:t>(62) […].</w:t>
      </w:r>
    </w:p>
    <w:p>
      <w:r>
        <w:t>D. Competitive Assessment under § 1 GWB, Art. 101 TFEU</w:t>
        <w:br/>
        <w:t>(63) The Federal Network Agency has already examined whether and to what extent the fees agreed upon in the NGA Migration and NGA Transformation Agreements are abusive (see paragraphs (40) and (41)). From a competition law perspective, it must also be investigated to what extent the project leads to a significant restriction of infrastructure competition between the parties and against third parties, as well as a competition-restricting exchange of information. The examination has shown that, based on the information available, there are no competitive concerns under § 1 GWB, Art. 101 TFEU. The cooperation agreements therefore do not give rise to any action by the Federal Cartel Office.</w:t>
      </w:r>
    </w:p>
    <w:p>
      <w:r>
        <w:t>- 21 -</w:t>
        <w:br/>
        <w:t>I. Restriction of Infrastructure Competition</w:t>
        <w:br/>
        <w:t>1. Infrastructure Competition as a Benchmark for Assessment</w:t>
        <w:br/>
        <w:t>(64) In January 2010, the Federal Cartel Office published a position paper titled "Guidelines for the Competition Law Assessment of Cooperations in Fiber Optic Expansion in Germany"32 ("Guidelines"). The guidelines were intended to provide guidance to companies willing to cooperate in the competition law assessment of cooperations in broadband expansion. At that time, various cooperations of Deutsche Telekom AG with competitors were to be examined from a competition law perspective. With the guidelines, the Federal Cartel Office complied with a request from the federal government as part of its broadband strategy.</w:t>
      </w:r>
    </w:p>
    <w:p>
      <w:r>
        <w:t>(65) Whether a planned cooperation in broadband expansion leads to a restriction of competition primarily depends on the nature of the cooperation and the market position of the participating companies. In this context, the Federal Cartel Office particularly examines whether unlawful price agreements are made and to what extent the cooperation restricts efficient infrastructure competition.</w:t>
      </w:r>
    </w:p>
    <w:p>
      <w:r>
        <w:t>(66) Infrastructure competition33 is the basis for all competitive parameters such as prices and quality, service, and variety of offered services. An offer is infrastructure-based if it is realized based on the local loop (TAL). The more infrastructure a provider owns, the greater its leeway in utilizing these parameters and the more independent it can act from the wholesale services, particularly of Telekom.34</w:t>
      </w:r>
    </w:p>
    <w:p>
      <w:r>
        <w:t xml:space="preserve">(67) Coordinated network expansion and thus the loss of infrastructure competition lead to a communalization of ongoing product-specific costs.32 See Guidelines for the Competition Law Assessment of Cooperations in Fiber Optic Expansion in Germany, op. cit., as of July 28, 2014. </w:t>
        <w:br/>
        <w:t xml:space="preserve">33 See Guidelines for the Competition Law Assessment of Cooperations in Fiber Optic Expansion in Germany, p. 17, op. cit. </w:t>
        <w:br/>
        <w:t>34 See Guidelines for the Competition Law Assessment of Cooperations in Fiber Optic Expansion in Germany, p. 16, op. cit.</w:t>
      </w:r>
    </w:p>
    <w:p>
      <w:r>
        <w:rPr>
          <w:b/>
        </w:rPr>
        <w:t>[Pages 22–24]</w:t>
      </w:r>
    </w:p>
    <w:p>
      <w:r>
        <w:t>- 22 -</w:t>
        <w:br/>
        <w:t>that affects pricing towards end customers and wholesale customers. If a participant receives bitstream access from the cooperation partner, the wholesale costs are likely to constitute a significantly higher communal share of the end customer price than would be the case based on the local loop. The scope of action of the respective cooperation partners in the cooperation area is also restricted in terms of product/service quality.35</w:t>
      </w:r>
    </w:p>
    <w:p>
      <w:r>
        <w:t>(68) According to the guidelines, a restriction of infrastructure competition is present from the perspective of the Federal Cartel Office when the cooperation leads to a decline in infrastructure-based xDSL offerings in the affected area. Infrastructure competition between the parties also diminishes if one of the cooperation partners realizes its xDSL offering - unlike before - entirely or partially through bitstream access.36</w:t>
      </w:r>
    </w:p>
    <w:p>
      <w:r>
        <w:t>(69) As long as there are no unlawful price agreements, cooperations for broadband expansion can, according to the guidelines, be exempted from the cartel prohibition under certain conditions (§ 2 GWB, Art. 101 Abs. 3 AEUV). To facilitate the burden of proof for the companies, the Federal Cartel Office has explained these conditions in detail in the position paper. A restriction of competition is, for example, not present if the parties can demonstrate that none of them could expand the network without cooperation. Cooperations that solely serve the initial development of so-called "white spots"37 with broadband offerings are generally not subject to antitrust concerns.</w:t>
      </w:r>
    </w:p>
    <w:p>
      <w:r>
        <w:t>(70) The Federal Cartel Office fundamentally adheres to these examination guidelines. However, it takes into account more strongly in the antitrust examination that the expectations for FTTx expansion have not been met as hoped. Alternative network operators have so far only been able to expand FTTB/H networks in a regionally limited manner. Alternative FTTC structures are also not yet available on a widespread basis. In light of this market development, quality improvements are generally likely to offset restrictions on infrastructure competition at least partially from an antitrust perspective.</w:t>
      </w:r>
    </w:p>
    <w:p>
      <w:r>
        <w:t>(71) Compared to the market situation in 2010, the decision of the Federal Network Agency regarding vectoring38 today represents a significant framework condition for cooperation projects for broadband expansion. A provider that expands vectoring can claim the respective distribution point for itself, provided it offers competitors a bitstream product. The Federal Cartel Office is striving to harmonize the antitrust evaluation criteria with regulatory rules into a coherent application practice to ensure the practical feasibility of both legal systems for the companies.</w:t>
      </w:r>
    </w:p>
    <w:p>
      <w:r>
        <w:t>2. Restriction of infrastructure competition between the parties</w:t>
      </w:r>
    </w:p>
    <w:p>
      <w:r>
        <w:t>(72) The project concerns the wholesale markets and the end customer market for broadband connections. The Federal Cartel Office could initially not rule out competition-restricting effects of the present agreement on the relevant markets. The cooperation between Telekom and Telefónica constitutes an agreement between companies that compete with each other in the wholesale markets and the end customer market for broadband access. Telefónica [...] and utilizes Telekom's expanded bitstream contingent model. Instead of a TAL-based ADSL offering, it will predominantly offer its end customers bitstream-based VDSL/vectoring in the future. Its fixed network products will thus be of higher quality in the future but will be created with less infrastructure.</w:t>
      </w:r>
    </w:p>
    <w:p>
      <w:r>
        <w:t>(73) However, the examination by the Federal Cartel Office revealed that the cooperation project, based on the available information, neither aims at nor results in a restriction of competition. The otherwise existing competitive conditions are not likely to be restricted by the cooperation. For this assessment, it is crucial to determine what the competitive situation would be without the questioned behavior.39 The actual legal and economic environment in which competition would take place without the agreement and all presumably associated restrictions must be examined.40</w:t>
      </w:r>
    </w:p>
    <w:p>
      <w:r>
        <w:t>(74) Telefónica has already [...] - prior to the imposition of the contingent models by Telekom and prior to the present cooperation with Telekom - decided not to expand its TAL platform to a fiber optic infrastructure.41 Telefónica has credibly demonstrated that [...]. It attributes this to the increasing demand for high-speed connections, which it can no longer meet with its current ADSL platform in the medium term. Telefónica is thus already to be seen as a provider in advance of the cooperation that [...].</w:t>
      </w:r>
    </w:p>
    <w:p>
      <w:r>
        <w:t>(75) Telefónica has further demonstrated that it has economically examined alternatives to cooperation with Telekom. The self-expansion with fiber optics [...]. Telefónica clarified its assessment based on various business cases that had been examined.42</w:t>
      </w:r>
    </w:p>
    <w:p>
      <w:r>
        <w:t>(76) The expansion of VULA (virtual unbundled local access)43 would also have triggered extensive network investments and high operating costs. Telefónica would have [...].44</w:t>
      </w:r>
    </w:p>
    <w:p>
      <w:r>
        <w:t>39 See Communication from the Commission, Guidelines on the application of Article 101(3) TFEU, (Official Journal C 11/1 of 14.1.2011, p. 99) as well as Langen/Bunte (2014): Commentary on Antitrust Law, Volume 2, European Antitrust Law, para. 234.</w:t>
      </w:r>
    </w:p>
    <w:p>
      <w:r>
        <w:t>40 Communication from the Commission, Guidelines on the applicability of Article 101 of the Treaty on the Functioning of the European Union to agreements on horizontal cooperation (Official Journal C 11/1 of 14.1.2011, p. 17).</w:t>
      </w:r>
    </w:p>
    <w:p>
      <w:r>
        <w:t>41 See letter from Telefónica dated March 12, 2014, pp. 2-4 as well as Annexes 4, 5, and 13 to this letter.</w:t>
      </w:r>
    </w:p>
    <w:p>
      <w:r>
        <w:t>42 See letter from Telefónica dated March 12, 2014, Annex 8 to Annex 12.</w:t>
      </w:r>
    </w:p>
    <w:p>
      <w:r>
        <w:t>43 See, for example, the decision of the European Commission in the context of the procedure under Article 7 of the Framework Directive (2002/21/EC) regarding the proposal of the British regulator Ofcom to require the telecommunications provider BT to offer alternative operators virtual access to its fiber optic infrastructures. Available at: http://europa.eu/rapid/press-release_IP-10-654_en.htm, as of August 25, 2014.</w:t>
      </w:r>
    </w:p>
    <w:p>
      <w:r>
        <w:t>44 See presentation "Fixed Network Options and Strategy" by Telefónica dated June 19, 2013, p. 21.</w:t>
      </w:r>
    </w:p>
    <w:p>
      <w:r>
        <w:rPr>
          <w:b/>
        </w:rPr>
        <w:t>[Pages 25–27]</w:t>
      </w:r>
    </w:p>
    <w:p>
      <w:r>
        <w:t>- 25 -</w:t>
        <w:br/>
        <w:t>(77) The intensification of cooperation with regional FTTx providers (so-called multi-partner approach) also did not offer an adequate solution for the current customer base. […].45</w:t>
        <w:br/>
        <w:t>(78) Telefónica maintains […]46 […]47</w:t>
        <w:br/>
        <w:t>(79) […]</w:t>
        <w:br/>
        <w:t>(80) The NGA cooperation with Telekom remained, according to Telefónica's credible presentation, the only available solution to continue providing end customers and wholesale customers with fast broadband end customer connections. This is also to be seen against the background that the market environment for broadband expansion - even according to the assessment of the companies involved, the Federal Network Agency, and other expert circles - will only develop gradually.</w:t>
        <w:br/>
        <w:t>3. Restriction of infrastructure competition against third parties</w:t>
        <w:br/>
        <w:t>(81) The Federal Cartel Office has determined that, at this point in time and based on the information known to the Federal Cartel Office, no anti-competitive effects on third parties are to be expected from the cooperation. The result of the examination did not give rise to any further action by the Federal Cartel Office.48</w:t>
        <w:br/>
        <w:t>(82) According to the knowledge of the Federal Cartel Office, the cooperation partners have not agreed on prices and/or conditions for access products for third parties that are not compatible with the non-discrimination obligation imposed on Telekom by regulation.</w:t>
        <w:br/>
        <w:t>45 See presentation "Fixed Network Options and Strategy" by Telefónica from June 19, 2013, pp. 24 to 27 and letter from Telefónica dated March 12, 2014, pp. 2 and 3.</w:t>
        <w:br/>
        <w:t>46 […]</w:t>
        <w:br/>
        <w:t>47 See "Fixed Network Options and Strategy" by Telefónica from June 19, 2013, pp. 24 to 27 and letter from Telefónica dated March 12, 2014, p. 29 and letter from Telefónica dated March 12, 2014, p. 3.</w:t>
        <w:br/>
        <w:t>48 Communication from the Commission, Guidelines on the applicability of Article 101 of the Treaty on the Functioning of the European Union to agreements on horizontal cooperation (Official Journal C 11/1 of January 14, 2011), p. 7.</w:t>
      </w:r>
    </w:p>
    <w:p>
      <w:r>
        <w:t>- 26 -</w:t>
        <w:br/>
        <w:t>(83) The NGA Migration Agreement is a further development of the contingent model and, just like the contingent model, is a market offering from Telekom to all interested wholesale customers. The Federal Network Agency examined the contingent model for regulated bitstream access in 2012 in a procedure for subsequent price control. Following a preliminary prohibition on April 2, 2012, Telekom submitted several amendments. For instance, a connection-related special termination right was introduced when new NGA connections are utilized, the minimum contingent size was reduced, and the monthly leasing fees were increased. The Federal Network Agency reviewed the changes and dropped its previously raised concerns. The Federal Network Agency also achieved improvements to the NGA Migration Agreement. These concerned a stronger regionalization of the contingent model, a more flexible temporal entry into the contingent model, special termination rights for FTTH/B connections, and the level of price differentiation for ADSL.49</w:t>
        <w:br/>
        <w:t>(84) Regarding the NGA Transformation Agreement, the Federal Network Agency initiated an expedited procedure for subsequent price control in the fall of 2013. It examined whether the agreed fees were abusive according to § 28 TKG. It discontinued the procedure (see paragraphs (40) and (41)). In the case of the NGA Transformation Agreement, a risk-sharing model in the sense of § 28 Abs. 1 S. 3 TKG was present.50</w:t>
        <w:br/>
        <w:t>(85) Access options for third parties can be restricted not only by prices and conditions but also by physical changes to the infrastructure. The Federal Cartel Office is concerned about the current market development moving away from infrastructure competition towards a threatening - vectoring-based - remonopolization at the distribution point. If such a scenario were to occur, it would, however, not be directly attributable to the NGA cooperation. Rather, it would initially be attributed to the decision to use vectoring. Telekom may no longer need main distribution frames in the expanded VDSL/vectoring network. However, for FTTB/H providers, access to TAL via main distribution frames can be an important complement to their own FTTB/H network to offer broadband connections outside their own connection network. If Telekom were to dismantle main distribution frames, the affected competitors would only have the choice to either invest significantly in infrastructure (i.e., to lay their own fiber to the distribution point and then request TAL access there) or to also rely on wholesale products with lower value creation.</w:t>
        <w:br/>
        <w:t>4. Result</w:t>
        <w:br/>
        <w:t>(86) For the competitive assessment of the present cooperation, it was decisive that Telefónica emerged as a provider that independently decided to abandon its own TAL platform, regardless of the NGA cooperation. The Federal Cartel Office has therefore concluded that there is no restriction of competition. The exemption requirements under § 2 Abs. 1 GWB or Art. 101 Abs. 3 AEUV did not need to be examined.</w:t>
        <w:br/>
        <w:t>5. Requirements for exemption</w:t>
        <w:br/>
        <w:t>(87) The Federal Cartel Office cannot rule out that the NGA cooperation between Telekom and Telefónica also brings efficiency advantages. This did not need to be examined. If Telefónica were to decide to expand further on its own, or if the parties were to significantly change their cooperation, any efficiencies and the further exemption requirements under Art. 101 Abs. 3 AEUV would need to be examined more closely. Without going into detail here, some general statements regarding the assessment criteria for the exemption requirements can be made for this case as well as for any further cooperation between telecommunications companies. These are based on the guidelines of the Federal Cartel Office from January 2010. In any case, the companies involved in an NGA cooperation would have to provide complete and verifiable evidence and documentation.</w:t>
      </w:r>
    </w:p>
    <w:p>
      <w:r>
        <w:rPr>
          <w:b/>
        </w:rPr>
        <w:t>[Pages 28–30]</w:t>
      </w:r>
    </w:p>
    <w:p>
      <w:r>
        <w:t>- 28 -</w:t>
        <w:br/>
        <w:t>documents to demonstrate that their project meets the exemption requirements according to § 2 GWB, Art. 101 Abs. 3 AEUV.</w:t>
        <w:br/>
        <w:t>a) Efficiencies and Consumer Participation</w:t>
        <w:br/>
        <w:t>(88) Efficiencies can initially be demonstrated by showing that the cooperation opens up white spots and provides more consumers with access to "fast" internet.51</w:t>
        <w:br/>
        <w:t>(89) In the NGA cooperation between Telekom and Telefónica, the expansion of white spots is not currently planned. […]. Telekom has committed to providing at least […] of the households connected to the fixed network in Germany with NGA by the end of 2016. Of these, at least […] must be available with a bandwidth of over 50 Mbit/s up to 100 Mbit/s by the end of 2016. At least, the parties plan, according to their own statements, to close the gaps in areas served by cable network operators in the long term. Through the cooperation […].52</w:t>
        <w:br/>
        <w:t>(90) Efficiencies may also exist if quality improvements in broadband connections can be achieved through the cooperation. In this case, consumers should also be sufficiently involved. The participating companies must provide detailed evidence that the cooperation increases the number of customers who can be served with higher quality.53</w:t>
        <w:br/>
        <w:t>(91) For example, Telefónica can offer its end customers higher-quality VDSL products instead of ADSL products through the NGA cooperation. Most of Telefónica's customers can benefit from this quality improvement: After the transition of the TAL-based connections is completed, […].54</w:t>
        <w:br/>
        <w:t>51 See Guidelines on the competition law assessment of cooperations in fiber optic expansion in Germany, p. 1, loc. cit.</w:t>
        <w:br/>
        <w:t>52 See presentation "NGA Cooperation with Telekom Deutschland" by Telefónica from March 10, 2014, as well as letter from BBORS Kreuznacht dated February 27, 2014, p. 14.</w:t>
        <w:br/>
        <w:t>53 See Commission Communication, Guidelines on the application of Art. 101 Abs. 3 AEUV, (Official Journal C 11/1 of January 14, 2011), p. 107 and Guidelines on the competition law assessment of cooperations in fiber optic expansion in Germany, pp. 25 and 26, loc. cit.</w:t>
        <w:br/>
        <w:t>54 See presentation "NGA Cooperation with Telekom Deutschland" by Telefónica from March 10, 2014, as well as letter from BBORS Kreuznacht dated February 27, 2014, pp. 7 to 9.</w:t>
      </w:r>
    </w:p>
    <w:p>
      <w:r>
        <w:t>- 29 -</w:t>
        <w:br/>
        <w:t>(92) Based on bitstream, Telefónica currently only supplies end customers if the customer's connection location is outside its TAL coverage. This is predominantly the case in rural areas. […]55</w:t>
        <w:br/>
        <w:t>(93) […]</w:t>
        <w:br/>
        <w:t>(94) How many connections Telefónica can sell as a reseller and aggregator is currently difficult to estimate. […]</w:t>
        <w:br/>
        <w:t>(95) The NGA cooperation between Telekom and Telefónica did not need to be examined to what extent efficiencies could be attributed to cost savings. If such an exemption presentation became necessary due to a changed factual situation, the cost savings would need to be described in detail, quantified specifically, and substantiated with the corresponding documents.56</w:t>
        <w:br/>
        <w:t>b) Necessity</w:t>
        <w:br/>
        <w:t>(96) To demonstrate necessity, it must be shown that the affected agreement is essential to achieve the improvement effects in the distribution or production of goods. This may be the case, for example, if it can be demonstrated that without cooperation, such FTTx expansion cannot take place or the scope of such expansion activities would be significantly smaller without cooperation.57</w:t>
        <w:br/>
        <w:t xml:space="preserve">(97) Telefónica has preemptively stated that it […] and […] submitted. If proof under § 2 GWB, Art. 101 Abs. 3 AEUV were required, </w:t>
        <w:br/>
        <w:t>55 See presentation "NGA Cooperation with Telekom Deutschland" by Telefónica from March 10, 2014, p. 9.</w:t>
        <w:br/>
        <w:t>56 If companies argue for an exemption that a cooperation leads to cost savings, they must first demonstrate that the cost savings result from efficient production or distribution processes, see Commission Communication, Guidelines on the application of Art. 101 Abs. 3 AEUV, (Official Journal C 11/1 of January 14, 2011), p. 106 and Guidelines on the competition law assessment of cooperations in fiber optic expansion in Germany, p. 25. If the companies cite consumer participation, it would need to be demonstrated how they benefit. This requires examining the characteristics and structure of the market, the nature and extent of efficiency gains, the elasticity of demand, and the extent of competition restriction, see Commission Communication, Guidelines on the application of Art. 101 Abs. 3 AEUV, (Official Journal C 11/1 of January 14, 2011), p. 111 as well as Guidelines on the competition law assessment of cooperations in fiber optic expansion in Germany, p. 26.</w:t>
        <w:br/>
        <w:t>57 See Commission Communication, Guidelines on the application of Art. 101 Abs. 3 AEUV, (Official Journal C 11/1 of January 14, 2011), p. 107 as well as Guidelines on the competition law assessment of cooperations in fiber optic expansion in Germany, p. 27, loc. cit.</w:t>
      </w:r>
    </w:p>
    <w:p>
      <w:r>
        <w:t>- 30 -</w:t>
        <w:br/>
        <w:t>critical masses for network expansion would also need to be determined. The cartel authority must be able to verify the calculations based on detailed documents.58</w:t>
        <w:br/>
        <w:t>c) No Elimination of Competition</w:t>
        <w:br/>
        <w:t>(98) For an exemption under § 2 GWB, Art. 101 Abs. 3 AEUV, it would ultimately need to be demonstrated by cooperating companies that competition is not eliminated by the cooperation. In the case of cooperations with Telekom, the companies would need to show that the market structure and market behavior argue against the elimination of competition or against the securing of Telekom's market position in the affected markets.59 It would need to be discussed how the planned cooperation will affect the ability of competitors to respond competitively. This leads to the question of whether the cooperating companies remain exposed to competitive pressure. It would also need to be examined whether the agreement removes an important competitive force from the market and to what extent substitutability exists between the products of the participating companies. Another focus of the analysis would be on the barriers to entry.60</w:t>
        <w:br/>
        <w:t>(99) The Federal Cartel Office will also take the regulatory framework into account in the overall assessment of market conditions. Meanwhile, various regulatory requirements61 at the national and European level provide the Federal Network Agency with leeway in evaluating NGA cooperations.</w:t>
        <w:br/>
        <w:t>58 Guidelines on the competition law assessment of cooperations in fiber optic expansion in Germany, p. 27, loc. cit.</w:t>
        <w:br/>
        <w:t>59 See Guidelines on the competition law assessment of cooperations in fiber optic expansion in Germany, p. 28, loc. cit.</w:t>
        <w:br/>
        <w:t>60 See Communication from the European Commission, Guidelines on the application of Article 101 Abs. 3 AEUV (Official Journal C 101/97 of April 27, 2004, pp. 113-115).</w:t>
        <w:br/>
        <w:t>61 Here, for example, the recognition of risk-sharing models for companies with significant market power in § 28 Abs. 1 sentence 3 TKG, the regulatory order on vectoring by the Federal Network Agency, or the recommendation of the European Commission of September 11, 2013, on uniform non-discrimination obligations and cost accounting methods should be mentioned.</w:t>
      </w:r>
    </w:p>
    <w:p>
      <w:r>
        <w:rPr>
          <w:b/>
        </w:rPr>
        <w:t>[Pages 31–33]</w:t>
      </w:r>
    </w:p>
    <w:p>
      <w:r>
        <w:t>- 31 -</w:t>
        <w:br/>
        <w:t>(100) Telefónica would be […]. […] the Federal Cartel Office would focus particularly on the competitive opportunities for third parties. In the bitstream market, there is a heterogeneous group of competitors with varying levels of their own network infrastructure, which are therefore affected differently by vectoring and the NGA cooperation. Although […]. […] at least secure. This could also benefit alternative infrastructure providers, provided that the demand for fast end customer products develops positively as expected.</w:t>
      </w:r>
    </w:p>
    <w:p>
      <w:r>
        <w:t>(101) However, it is expected that […]. Demand for wholesale services from large providers such as Telefónica could still be anticipated outside of Telekom's footprint in the future. In particular, for large regional providers, the wholesale business is important as a contribution to covering investment costs, according to their own statements. The more an provider's sales area overlaps with Telekom's vectoring expansion area, the more likely they could be adversely affected. Telekom itself seems to only demand wholesale products where a competitor has built out alone.</w:t>
      </w:r>
    </w:p>
    <w:p>
      <w:r>
        <w:t>II. Information Exchange</w:t>
        <w:br/>
        <w:t>(102) The planned intensive technical cooperation between the parties is accompanied by a far-reaching exchange of information. This concerns the information processes for the migration of new customers and existing customers as well as for […], the equal treatment in technical developments, and the technology forum. According to the Federal Cartel Office, the respective regulations are subordinate to the implementation of the cooperation and are inseparably linked to it. Without the agreed exchange, the cooperation would be difficult or - in the case of some regulations - not feasible at all. The Federal Cartel Office has therefore concluded that the contractually agreed information exchange between the parties should be regarded as a side agreement that is directly connected to the main agreement, necessary, and appropriate. There is also no reason to take action in this regard.62</w:t>
      </w:r>
    </w:p>
    <w:p>
      <w:r>
        <w:t>62 Cf. Announcement of the European Commission, Guidelines on the application of Article 101(3) TFEU (Official Journal C 101/97 of April 27, 2004), pp. 101 to 102, as well as Langen/Bunte: Commentary on Antitrust Law, Volume 2, European Antitrust Law, para. 186.</w:t>
      </w:r>
    </w:p>
    <w:p>
      <w:r>
        <w:t>- 32 -</w:t>
        <w:br/>
        <w:t>(103) In the antitrust assessment of the information exchange, it was to be considered that there was already a wholesale business relationship between the parties and thus a continuous exchange of information. The parties are intensifying this to technically and operationally carry out the migration of customers. According to Telefónica, the migration of connection volumes is handled through complex IT processes and manual switches.63</w:t>
      </w:r>
    </w:p>
    <w:p>
      <w:r>
        <w:t>(104) The information exchange during customer migration appears necessary to avoid errors in the ordering and provisioning process as much as possible. Due to the transition to bitstream at Telefónica, Telekom must make physical switches and reassign personnel accordingly. Telekom must plan the personnel resources on a daily basis for the individual main distribution frames. If a switch fails during the hard migration, end customer connections may no longer function, even though the customers themselves did not initiate a network change.64</w:t>
      </w:r>
    </w:p>
    <w:p>
      <w:r>
        <w:t>(105) Forecasting processes also seem to be necessary during the migration so that Telefónica's customers can be supplied with VDSL hardware in a timely and sufficient manner. Telefónica transmits to Telekom a […]. The parties have further agreed that the information may not be used for purposes other than the expansion of Telekom's NGA network and in particular may not be used for sales purposes.65</w:t>
      </w:r>
    </w:p>
    <w:p>
      <w:r>
        <w:t>(106) Telekom informs Telefónica […]. For the transition to vectoring, both the end customer devices and the network-side technology must be replaced. According to Telefónica, it requires […], to replace the end customer devices at the customer's premises. The replacement must be coordinated with each customer and also logistically prepared.66</w:t>
      </w:r>
    </w:p>
    <w:p>
      <w:r>
        <w:t>63 Cf. Letter from BBORS Kreuznacht dated February 27, 2014, p. 26.</w:t>
        <w:br/>
        <w:t>64 Cf. Letter from BBORS Kreuznacht dated February 27, 2014, p. 27.</w:t>
        <w:br/>
        <w:t>65 Cf. NGA Transformation Agreement, Agreement on the medium-term migration from TAL to NGA in co-investment and risk-sharing procedures through sale &amp; lease back, migration and acceptance obligations dated December 20, 2013, para. 4.6, sentence 5.</w:t>
        <w:br/>
        <w:t>66 Cf. Presentation "NGA Cooperation with Telekom Deutschland" by Telefónica dated March 10, 2014.</w:t>
      </w:r>
    </w:p>
    <w:p>
      <w:r>
        <w:t>- 33 -</w:t>
        <w:br/>
        <w:t>(107) According to Section 8.1, sentence 1 of the NGA-TV, Telefónica must be able to benefit from product improvements in Telekom's wholesale products in a comparable manner as its own internal business units (equal treatment in technical developments). Telekom should not offer its own retail area products that are technically and qualitatively superior to those offered to wholesale customers. The equal treatment obligation only concerns wholesale services and related IT processes.67</w:t>
      </w:r>
    </w:p>
    <w:p>
      <w:r>
        <w:t>(108) After the dismantling of the TAL platform, Telefónica is dependent on coordinating the product adjustments and improvements requested by end customers with its suppliers. It must take changes at Telekom into account technically with its end customer hardware. The configuration of this hardware is complex according to Telefónica, as it must be usable for various wholesale services and different suppliers. The IT processes must be adjusted to prevent technical disruptions during data exchange.68 The technology forum serves to organizationally implement the equal treatment obligation by institutionalizing regular discussions.</w:t>
      </w:r>
    </w:p>
    <w:p>
      <w:r>
        <w:t>(109) Equal treatment is also mandated by regulation in the form of the prohibition of discrimination under § 19 Abs. 1 and Abs. 2 TKG. This was imposed on Telekom by the Federal Network Agency with the regulatory order BK3b-09/069 of September 17, 2010, for the bitstream market.</w:t>
      </w:r>
    </w:p>
    <w:p>
      <w:r>
        <w:t>(110) Furthermore, the cooperation partners have established a contractual prohibition on using the exchanged data for sales purposes. In particular, the knowledge obtained under this contract may not be used for or in connection with the sale of their wholesale and end customer products.69 Telefónica has assured that […].</w:t>
      </w:r>
    </w:p>
    <w:p>
      <w:r>
        <w:t>(111) The clause in Section 9.4 of the NGA Transformation is modeled after the statutory regulation in § 17 TKG. According to § 17 TKG, the access agreements must not allow for discrimination against other providers.67</w:t>
      </w:r>
    </w:p>
    <w:p>
      <w:r>
        <w:rPr>
          <w:b/>
        </w:rPr>
        <w:t>[Pages 34–36]</w:t>
      </w:r>
    </w:p>
    <w:p>
      <w:r>
        <w:t>- 34 -</w:t>
        <w:br/>
        <w:t>the exchanged data may only be used for the purposes for which they were provided. Information may not be shared with other departments or subsidiaries of the contracting parties.</w:t>
      </w:r>
    </w:p>
    <w:p>
      <w:r>
        <w:t>(112) In the examination of mergers, the Federal Cartel Office applies a strict standard to such agreements. The fact that in this case the risks of such an arrangement are solely borne by the participating Telefónica counters the competitive concerns of the Federal Cartel Office. During the NGA cooperation, Telefónica itself is likely to have a strong interest in protecting its information, as it intends to operate in the same NGA expansion areas as its cooperation partner Telekom.</w:t>
      </w:r>
    </w:p>
    <w:p>
      <w:r>
        <w:t>III. Discretion</w:t>
      </w:r>
    </w:p>
    <w:p>
      <w:r>
        <w:t>(113) The decision-making department makes the decision pursuant to § 32c GWB in the exercise of its existing discretionary powers.</w:t>
      </w:r>
    </w:p>
    <w:p>
      <w:r>
        <w:t>(114) A corresponding decision is appropriate, as the underlying facts go beyond the individual case. In 2009, various cooperation projects of Telekom with competitors were presented to the Federal Cartel Office. On this occasion, in 2010, the Federal Cartel Office published the aforementioned "Guidelines for the Competitive Assessment of Cooperations in Fiber Optic Expansion in Germany."70 The majority of the cooperations announced at that time were ultimately not implemented. The NGA cooperation between Telekom and Telefónica allows for the application of the examination guidelines for the first time.</w:t>
      </w:r>
    </w:p>
    <w:p>
      <w:r>
        <w:t>(115) However, the competitive environment has changed in the last four years. In the meantime, competitors of Telekom have decided to forgo further self-expansion and instead cooperate with Telekom. Contrary to expectations in 2009, there will not initially be parallel copper or fiber optic networks in broadband expansion. The willingness to pay from demanders currently does not allow for the necessary investments to be financed. This market development is also reflected in the regulatory decision of the Federal Network Agency regarding vectoring71 as well as various regulatory recommendations from the European Commission. This development can be taken into account with the present decision – in further development of the examination guidelines from January 2010 – which also provides certain standards for possible further NGA cooperations.</w:t>
      </w:r>
    </w:p>
    <w:p>
      <w:r>
        <w:t>(116) In considering the potential exemption requirement of not eliminating competition, another structural market change must be taken into account: In the fixed network and mobile markets, three integrated providers, Telekom, Vodafone, and Telefónica, will face each other in the future. These are interconnected in the fixed network through wholesale relationships and cooperations. The performance of the fixed network, in turn, has a technical and business impact on the performance of the companies in mobile communications and overall. Apart from the accompanying transparency, it remains to be seen to what extent the players still have incentives to differentiate themselves in competition. As also stated in the context of the EU merger control procedure COMP/M.7018 Telefónica/E-Plus, the Federal Cartel Office sees an increasing risk of coordinated effects. However, how quickly the convergence of the markets progresses and how the risk of collusion will develop in this context cannot yet be assessed today.</w:t>
      </w:r>
    </w:p>
    <w:p>
      <w:r>
        <w:t>(117) The decision pursuant to § 32c GWB is ultimately suitable and appropriate to create legal certainty for the cooperation participants and to clarify the authority's behavior. However, the decision pursuant to § 32c GWB only states that the Federal Cartel Office will not exercise its powers under §§ 32 and 32a GWB, subject to newer findings. The Federal Cartel Office will continue to monitor the telecommunications markets intensively and will intervene immediately if a restriction of competition is imminent.</w:t>
      </w:r>
    </w:p>
    <w:p>
      <w:r>
        <w:t>71 See Decision BK3a-12/131 of the Federal Network Agency dated August 29, 2013.</w:t>
      </w:r>
    </w:p>
    <w:p>
      <w:r>
        <w:t>- 36 -</w:t>
        <w:br/>
        <w:t>IV. Fees</w:t>
      </w:r>
    </w:p>
    <w:p>
      <w:r>
        <w:t>(118) Official actions based on § 32c GWB are subject to fees in accordance with § 80 Abs. 1 Sentence 2 No. 2 GWB. The cartel authority may charge fees of up to 25,000 euros, and in cases of particularly significant economic importance and extraordinary administrative effort, up to 50,000 euros (§ 80 Abs. 2 Sentence 2 No. 2 in conjunction with Sentence 3 GWB).</w:t>
      </w:r>
    </w:p>
    <w:p>
      <w:r>
        <w:t>(119) The amount of the fees is determined by the personnel and material effort of the cartel authority, taking into account the economic significance of the subject matter of the fee-based action (§ 80 Abs. 2 Sentence 1 GWB).</w:t>
      </w:r>
    </w:p>
    <w:p>
      <w:r>
        <w:t>(120) Among the mentioned criteria, the economic significance carries the greatest weight. It arises from the amount of domestic revenues of the participating companies in the markets affected by the behavior being examined, from the interest of the participants in the implementation of the agreement being examined here, including the effects of the agreement on domestic market conditions, as well as from the expected business advantages in the domestic market. The consideration of economic significance essentially represents a classification of the specific individual case within the framework applicable to the case group, with the revenue affected by the competition restriction or order serving as the primary benchmark.</w:t>
      </w:r>
    </w:p>
    <w:p>
      <w:r>
        <w:t>(121) If the economic significance corresponds to the average, a medium fee is generally appropriate (KG, 03.06.1977 "Computer", WuW/E OLG 1951; 29.03.1988 "Object Company", WuW/E OLG 4143,4146 m.w.N.; OLG Düsseldorf, 19.08.2008 "Solar Energy Company", WuW/E DE-R 2495).</w:t>
      </w:r>
    </w:p>
    <w:p>
      <w:r>
        <w:t>(122) This amounts to 12,500 euros according to the currently applicable fee framework. From this average, depending on the respective economic significance and the workload, adjustments may be made, the extent of which lies within the discretionary powers of the cartel authority (see OLG Düsseldorf).</w:t>
      </w:r>
    </w:p>
    <w:p>
      <w:r>
        <w:rPr>
          <w:b/>
        </w:rPr>
        <w:t>[Pages 37–39]</w:t>
      </w:r>
    </w:p>
    <w:p>
      <w:r>
        <w:t>- 37 -</w:t>
        <w:br/>
        <w:t>WuW 2000, 894 "Tequila", KG WuW/E OLG 5259 "Kleinhammer", KG WuW/E OLG 5287 "Financial Participation Fee").</w:t>
      </w:r>
    </w:p>
    <w:p>
      <w:r>
        <w:t>(123) In the present case, the agreement to be assessed and the decision under § 32 c GWB must be assigned a high significance. The effects of the agreement on market structures are considerable given the current market conditions. Since the agreement concerns the fixed network business with broadband connections, its economic significance is substantial. The factual and personnel effort of the authority was significantly above average. Therefore, the fee for the official act under § 32 c GWB is appropriate and justified at the amount of 20,000 euros.</w:t>
      </w:r>
    </w:p>
    <w:p>
      <w:r>
        <w:t>(124) The debtor of the fee is the company that has initiated this decision through an application or registration, or the one against whom a decision of the cartel authority has been issued (§ 80 Abs. 6 Satz 14 Nr. 2 GWB). Since the parties involved are both contractual partners, the decision is directed against both parties. Multiple debtors are jointly liable (§ 80 Abs. 6 Satz 3 GWB).</w:t>
      </w:r>
    </w:p>
    <w:p>
      <w:r>
        <w:t>(125) The fees of € […] are due upon delivery of this decision and must be transferred within one month after delivery to the account of the Federal Treasury Trier</w:t>
        <w:br/>
        <w:t>IBAN: DE81 5900 0000 0059 0010 20</w:t>
        <w:br/>
        <w:t>Deutsche Bundesbank, Saarbrücken Branch</w:t>
        <w:br/>
        <w:t>BIC: MARKDEF 1590</w:t>
        <w:br/>
        <w:t>Please ensure to indicate the reference number 810600301477 and the date of the decision as the purpose of use; otherwise, the payment cannot be processed.</w:t>
      </w:r>
    </w:p>
    <w:p>
      <w:r>
        <w:t>(126) If no or incomplete payment is made by the end of one month after the date of delivery, late fees of one percent of the outstanding amount may be charged for each commenced month of delay (§ 80 Abs. 8 GWB, § 1 Abs. 1 KartKostVO in conjunction with § 18 Abs. 1 VwKostG). For transfers from abroad, bank fees generally apply. In these cases, it must be ensured that the full fee is credited to the account of the Federal Cartel Office.</w:t>
      </w:r>
    </w:p>
    <w:p>
      <w:r>
        <w:t>(127) The costs to be determined as expenses in addition to the fees pursuant to § 80 Abs. 1 Satz 3 GWB will be charged separately.</w:t>
      </w:r>
    </w:p>
    <w:p>
      <w:r>
        <w:t>- 39 -</w:t>
        <w:br/>
        <w:t>E. Instructions on Legal Remedies</w:t>
        <w:br/>
        <w:t>An appeal against this decision is open.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substantiating the appeal is two months. It begins with the delivery of the decision and can be extended upon request by the presiding judge of the appellate court. The appeal justification must contain the statement regarding the extent to which the decision is contested and the request for its amendment or annulment, and must specify the facts and evidence, including any new ones, on which the appeal is based.</w:t>
      </w:r>
    </w:p>
    <w:p>
      <w:r>
        <w:t>The appeal and its justification must be signed by a lawyer.</w:t>
      </w:r>
    </w:p>
    <w:p>
      <w:r>
        <w:t>The appeal does not have a suspensive effect. Upon request, the appellate court may order the suspensive effect of the appeal in whole or in part.</w:t>
      </w:r>
    </w:p>
    <w:p>
      <w:r>
        <w:t>Dr. Wagemann Dr. Hacker Dr. Gerhardt</w:t>
      </w:r>
    </w:p>
    <w:p>
      <w:r>
        <w:t>You are hereby informed that the decision will be published in full text on the Internet. You are therefore requested to inform the decision department in writing within 7 days after the delivery of this decision if the decision contains trade secrets that need to be redacted before publication. Please justify why the requested redactions pertain to trade secrets. If the responsible decision department does not receive any notification from you within 7 days, the Federal Cartel Office will assume that this decision does not contain trade secrets and will publish it.</w:t>
      </w:r>
    </w:p>
    <w:p>
      <w:r>
        <w:rPr>
          <w:b/>
        </w:rPr>
        <w:t>[Pages 40–41]</w:t>
      </w:r>
    </w:p>
    <w:p>
      <w:r>
        <w:t>- 40 -</w:t>
        <w:br/>
        <w:t>Table of Contents</w:t>
        <w:br/>
        <w:t>A. Summary ........................................................................................................ 3</w:t>
        <w:br/>
        <w:t>B. Facts ................................................................................................................ 6</w:t>
        <w:br/>
        <w:t>I. Involved Companies ....................................................................................... 6</w:t>
        <w:br/>
        <w:t>II. Project ............................................................................................................. 7</w:t>
        <w:br/>
        <w:t>III. Contingent Models for Wholesale Fast Broadband Customer Connections ....... 8</w:t>
        <w:br/>
        <w:t>IV. Procedure ....................................................................................................... 14</w:t>
        <w:br/>
        <w:t>C. The Cooperation Agreements between Telekom and Telefónica .................. 16</w:t>
        <w:br/>
        <w:t>I. NGA Migration Agreement ............................................................................. 16</w:t>
        <w:br/>
        <w:t>II. NGA Transformation Agreement .................................................................... 18</w:t>
        <w:br/>
        <w:t>D. Competitive Assessment under § 1 GWB, Art. 101 TFEU .......................... 20</w:t>
        <w:br/>
        <w:t>I. Restriction of Infrastructure Competition .......................................................... 21</w:t>
        <w:br/>
        <w:t>1. Infrastructure Competition as a Benchmark ......................................................... 21</w:t>
        <w:br/>
        <w:t>2. Restriction of Infrastructure Competition between the Parties .......................... 23</w:t>
        <w:br/>
        <w:t>3. Restriction of Infrastructure Competition against Third Parties .......................... 25</w:t>
        <w:br/>
        <w:t>4. Result .................................................................................................................. 27</w:t>
        <w:br/>
        <w:t>5. Requirements for Exemption .............................................................................. 27</w:t>
        <w:br/>
        <w:t>a) Efficiencies and Consumer Participation ............................................................ 28</w:t>
        <w:br/>
        <w:t>b) Necessity ............................................................................................................. 29</w:t>
        <w:br/>
        <w:t>c) No Elimination of Competition ......................................................................... 30</w:t>
        <w:br/>
        <w:t>II. Information Exchange ................................................................................... 31</w:t>
        <w:br/>
        <w:t>III. Discretion ......................................................................................................... 34</w:t>
        <w:br/>
        <w:t>IV. Fees .................................................................................................................. 36</w:t>
        <w:br/>
        <w:t>E. Legal Remedy Information ........................................................................... 39</w:t>
      </w:r>
    </w:p>
    <w:p>
      <w:r>
        <w:t>- 41 -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