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http://www.bundeskartellamt.de/SharedDocs/Entscheidung/DE/Fallberichte/Missbrauchsaufsicht/2010/B7-68-09.pdf;jsessionid=BFF0EFA766F96EAD5E7E7A4D388C7877.2_cid378?__blob=publicationFile&amp;v=5</w:t>
      </w:r>
    </w:p>
    <w:p>
      <w:r>
        <w:t>Pages translated : 3</w:t>
      </w:r>
    </w:p>
    <w:p/>
    <w:p>
      <w:r>
        <w:rPr>
          <w:b/>
        </w:rPr>
        <w:t>[Pages 1–3]</w:t>
      </w:r>
    </w:p>
    <w:p>
      <w:r>
        <w:t>1</w:t>
        <w:br/>
        <w:t>Case Report June 7, 2010</w:t>
        <w:br/>
        <w:t>Examination of a possible violation of § 19 GWB, Art. 102 TFEU regarding the IP backbone services through the product "WIA-DSL" due to the practice of a price-cost squeeze</w:t>
        <w:br/>
        <w:t>Industry: Telecommunications</w:t>
        <w:br/>
        <w:t>File Number: B7 - 68/09</w:t>
        <w:br/>
        <w:t>Case Presentation</w:t>
        <w:br/>
        <w:t>The Federal Cartel Office conducted a procedure against Deutsche Telekom AG, Bonn (DTAG) in 2009/2010 to review the pricing of the "Wholesale Internet Access" (WIA DSL) offer in relation to the regulated fees of the "IP Bitstream" offer. The procedure was closed after intensive investigations, as the initially existing suspicion of a price-cost squeeze was not confirmed.</w:t>
        <w:br/>
        <w:t>The offers concern DSL pre-services that an Internet Service Provider (ISP) needs in order to offer a DSL connection to the end customer. There are various possibilities for ISPs to realize internet services. The type and number of pre-services required depend on the extent of the ISP's own realized infrastructure.</w:t>
        <w:br/>
        <w:t>A DSL network can be divided into three value creation stages, thereby forming an investment ladder for the realization of the infrastructure levels. The levels consist of the connection network (last mile), the concentrator network, and the IP backbone network. Only DTAG has comprehensive coverage of all network elements of the three mentioned value creation stages and is thus able to offer all pre-services for internet connections to competing ISPs.</w:t>
      </w:r>
    </w:p>
    <w:p>
      <w:r>
        <w:t>2</w:t>
        <w:br/>
        <w:t>This particularly involves access to the connection network through the physical provision of the subscriber line (TAL), bitstream access as a transport service for internet traffic through connection and concentrator networks, as well as wholesale internet access as a resale offer of internet connections with the transport of internet traffic through all network levels to competitors. The ISP requires access to the TAL if it has established its own infrastructure at the level of the concentrator network and the IP backbone. Bitstream access is needed by those ISPs that have only realized their own IP backbone. Wholesale internet access is required by ISPs without any infrastructure of their own. In addition to DTAG, alternative providers also offer DSL pre-services, which in turn must either obtain access to the TAL or the IP bitstream as a pre-service from DTAG. Among these alternative providers is the complainant Telefónica Deutschland GmbH, which offers ISPs wholesale internet access products based on the TAL and the IP bitstream. It has argued that DTAG practices a price-cost squeeze with the products WIA DSL and IP bitstream. Such a suspicion also arose from the last procedure for the ex-ante approval of the IP bitstream fees by the Federal Network Agency. The investigations of the Federal Network Agency suggested that the difference between the IP bitstream fees and WIA DSL must cover the costs for the IP backbone service of €1.46. However, the price lists of DTAG only indicated a gap of less than €0.80.</w:t>
        <w:br/>
        <w:t>The intensive investigations of the decision-making department, conducted in close cooperation with the Federal Network Agency, could not confirm the suspicion of an existing and ongoing price-cost squeeze. There is agreement between the authorities on the results. The determined fee difference was, according to the current findings of the Federal Cartel Office, sufficient to cover the product-specific costs of the IP backbone service.</w:t>
        <w:br/>
        <w:t>The examination concept for an abusive price-cost squeeze in the sense of § 19 Abs. 4 Nr. 1 GWB and Art. 102 TFEU requires the market dominance of the norm addressee at least in the relevant pre-service market. Thus, in the present case, the market conditions in the regulated national bitstream market were decisive, where, according to the applicable market analyses of the Federal Network Agency, a market dominance of DTAG is to be assumed.</w:t>
        <w:br/>
        <w:t>For the question of the price-cost squeeze, the actual fee difference between the product IP bitstream and WIA DSL must then be determined, which does not have to correspond to the difference according to the price lists due to possible discounts or surcharges. Due to the complex tariff structure of the affected DSL pre-products, this determination was very labor-intensive. The decision-making department has, among other things, determined the demand quantities of the last two years and based on this, established a forecast of the realistically expected future demand quantities. This was supported by econometric studies based on models.</w:t>
        <w:br/>
        <w:t>In the present constellation, the difference between the actual prices in the downstream market and the actual pre-service prices was positive and significantly higher than indicated by the price list. This result alone made the existence of a price-cost squeeze unlikely. Nevertheless, the Federal Cartel Office further examined whether this difference was sufficient to cover the product-specific costs of DTAG for the product WIA DSL. A price-cost squeeze could not be established regardless of the applicable cost benchmark, as the smallest determined fee difference in the forecast would cover the product-specific costs of the IP backbone transport service. In particular, the investigations revealed that the value of €1.46 determined by the Federal Network Agency in the context of the then approval procedure is no longer current and therefore cannot be used as a basis.</w:t>
        <w:br/>
        <w:t>Abuse in accordance with § 19 Abs. 4 Nr. 1 GWB and Art. 102 TFEU was therefore not to be assumed.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