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https://www.bundeskartellamt.de/SharedDocs/Entscheidung/DE/Fallberichte/Fusionskontrolle/2020/B7-69-20.pdf?__blob=publicationFile&amp;v=1</w:t>
      </w:r>
    </w:p>
    <w:p>
      <w:r>
        <w:t>Pages translated : 3</w:t>
      </w:r>
    </w:p>
    <w:p/>
    <w:p>
      <w:r>
        <w:rPr>
          <w:b/>
        </w:rPr>
        <w:t>[Pages 1–3]</w:t>
      </w:r>
    </w:p>
    <w:p>
      <w:r>
        <w:t xml:space="preserve">Case Report April 6, 2020  </w:t>
        <w:br/>
        <w:t xml:space="preserve">Approval of the acquisition of the motorcycle magazine business segment  </w:t>
        <w:br/>
        <w:t xml:space="preserve">from Reiner H. Nitschke Verlags-GmbH by Syburger Verlag GmbH  </w:t>
        <w:br/>
        <w:t xml:space="preserve">Industry: Motorcycle Magazines  </w:t>
        <w:br/>
        <w:t xml:space="preserve">File Number: B7-69/20  </w:t>
        <w:br/>
        <w:t>Date of Decision: April 2, 2020</w:t>
      </w:r>
    </w:p>
    <w:p>
      <w:r>
        <w:t>The Federal Cartel Office has approved the acquisition of the motorcycle magazine business segment from Reiner H. Nitschke Verlags-GmbH by Syburger Verlag GmbH in the first phase.</w:t>
      </w:r>
    </w:p>
    <w:p>
      <w:r>
        <w:t>Syburger is part of the VF Mediengruppe and publishes several special interest magazines, magazines, and a special issue covering the motorcycle sector. This includes the titles "Motorrad News," "KURVE Klassische Motorräder," and "Motorrad-Gespanne," as well as the free distributed "MotorradSzene" with eight regional editions. The motorcycle magazine business segment of Nitschke consists, among other things, of the magazines "Motorradfahrer," "Tourenfahrer," and "Motorrad Abenteuer."</w:t>
      </w:r>
    </w:p>
    <w:p>
      <w:r>
        <w:t>The merger had effects on the reader market for motorcycle magazines and on the corresponding advertising market. Investigations showed that the markets could be delineated even more narrowly, but certainly not more broadly, without a decision on this matter. Because in addition to (more general) motorcycle magazines, which cover a wide range of topics from riding, scene, and tour reports to reviews of accessories with different focuses, there are more specialized titles that target the motocross or chopper scene and are of no interest to the majority of motorcyclists. Accordingly, there were also few overlaps regarding the advertisements in the magazines.</w:t>
      </w:r>
    </w:p>
    <w:p>
      <w:r>
        <w:t>According to the review of the sample copies, the survey of advertising customers and competitors, the titles "Motorradfahrer" (Syburger) and "Motorrad News" (Nitschke) are in a close competitive relationship with each other. The other titles of the merging parties are to be regarded as complementary to each other due to their thematic specialization, their presentation, or the regional advertising opportunities in "Motorrad Szene."</w:t>
      </w:r>
    </w:p>
    <w:p>
      <w:r>
        <w:t>The strongest and by far leading competitor is "Motorrad" from the publisher Motor Presse Stuttgart, which also publishes other motorcycle magazines. Additionally, there are titles from smaller publishers, among which "Motorrad Magazin MO" is the most significant.</w:t>
      </w:r>
    </w:p>
    <w:p>
      <w:r>
        <w:t>Thus, there was a merger of the number 2 with the number 3 in the market. They achieve a combined market share of [20-30]% in the reader market and [30-40]% in the advertising market. The share in the advertising market is higher than in the reader market due to the free distributed title "Motorrad Szene." The leading Motor Presse Stuttgart reaches [50-60]% in the reader market and [40-50]% in the advertising market.</w:t>
      </w:r>
    </w:p>
    <w:p>
      <w:r>
        <w:t>Hence, the affected markets will now be shaped by two companies, which achieve a market share of [80-90]% in the reader and advertising market. Thus, the statutory presumption threshold of § 18 Abs. 6 Nr. 1 GWB for a dominant duopoly is far exceeded.</w:t>
      </w:r>
    </w:p>
    <w:p>
      <w:r>
        <w:t>Nevertheless, according to the investigations, it can be assumed that significant competition remains between the leading companies and there are no incentives for coordinated, price-increasing behavior. Although market transparency is high and external competition is low, which is generally conducive to collusion, the fact that only Syburger, and not Motor Presse Stuttgart, has a free magazine with a large reach and significant advertising revenues means that there is already a lack of a coordination opportunity that would be advantageous for both publishers.</w:t>
      </w:r>
    </w:p>
    <w:p>
      <w:r>
        <w:t>This applies not only to the advertising market but particularly to the reader market in the given constellation. Here, the free magazine "Motorrad-Szene" serves as an alternative for the all-round magazines in the event of significant price increases. Increases in copy prices would lead to reader losses in favor of the free magazine and competing publishers. Given the advertising circulation spiral, the duopolists would also suffer declines in the advertising market, where their position is already weakened due to the decreasing significance of print media and the increasing significance of alternative advertising options (substitution competition).</w:t>
      </w:r>
    </w:p>
    <w:p>
      <w:r>
        <w:t>If, conversely, "Motorrad-Szene" were to become a paid publication, the magazine would lose the majority of its readers and thus its economic basis, as revenues would collapse in the advertising market due to the advertising circulation spiral. This would result in significant economic losses for Syburger, which would likely not be compensated by increasing the copy prices of its other magazines.</w:t>
      </w:r>
    </w:p>
    <w:p>
      <w:r>
        <w:t>In the present case, potential market entries threatened to destabilize any parallel behavior. During the review of the merger project, the "Motorrad Magazin," which had previously been published in Austria, was also distributed in Germany for the first time. Additionally, Springer Verlag announced a special issue "Auto BILD Motorrad" for April 2020.</w:t>
      </w:r>
    </w:p>
    <w:p>
      <w:r>
        <w:t>The surveyed advertising customers saw no indication that competition would be restricted by the merger. Rather, some customers welcomed that a stronger competitor would stand against the market leader in the future. Given the market behavior in the past and their assessment of the acting publishers, the risk of coordinated behavior was not seen. The consideration of the behavior of market participants in the past is, in the opinion of the BGH1, appropriate within the overall assessment for the forecasting decision.</w:t>
      </w:r>
    </w:p>
    <w:p>
      <w:r>
        <w:t>The threat of refraining from placing advertisements in favor of direct mailings, online advertising, or influencer marketing, or the threat of placing advertisements with competitors, appears from the customers' perspective to be sufficiently credible to destabilize any collusion efforts and to prompt the duopolists to make price concessions in advertising.</w:t>
      </w:r>
    </w:p>
    <w:p>
      <w:r>
        <w:t>This distinguishes the present case from the plan examined by the Federal Cartel Office last year regarding the acquisition of the German-language license for the production and distribution of the magazine National Geographic by Gruner + Jahr.2 In that case, Gruner + Jahr would have become the publisher of the two closest and largest competitors in terms of revenue in the reader market through the renewed acquisition of the license. Thus, it was not a question of the remaining competition between duopolists, but rather of the behavioral leeway of the market leader. Furthermore, the reader market was in the foreground. In that case, the Federal Cartel Office could not determine based on preliminary investigations that free and paid internet offers as well as linear and non-linear moving image offers would effectively restrict the behavioral leeway of Gruner + Jahr in the reader market (intermedia competition).</w:t>
      </w:r>
    </w:p>
    <w:p>
      <w:r>
        <w:t xml:space="preserve">As a result, in the present case, the emergence of a collectively dominant duopoly of Syburger and Motor Presse Stuttgart was not to be expected in either the reader or the advertising markets. Therefore, the project could be approved in the first phase of the merger control procedure.  </w:t>
        <w:br/>
        <w:t xml:space="preserve">1 BGH, Decision of April 20, 2010, KVR 1/09 – Phonak/GN Store, para. 81 (juris).  </w:t>
        <w:br/>
        <w:t xml:space="preserve">2 B7-176/18, Case Report of January 21, 2019.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