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http://www.bundeskartellamt.de/SharedDocs/Entscheidung/DE/Fallberichte/Fusionskontrolle/2013/B7-70-12.pdf;jsessionid=1D1AC046E3E2575B16240A16A582889D.2_cid387?__blob=publicationFile&amp;v=4</w:t>
      </w:r>
    </w:p>
    <w:p>
      <w:r>
        <w:t>Pages translated : 6</w:t>
      </w:r>
    </w:p>
    <w:p/>
    <w:p>
      <w:r>
        <w:rPr>
          <w:b/>
        </w:rPr>
        <w:t>[Pages 1–3]</w:t>
      </w:r>
    </w:p>
    <w:p>
      <w:r>
        <w:t>1</w:t>
        <w:br/>
        <w:t>Case Report April 22, 2013</w:t>
        <w:br/>
        <w:t>Prohibition of the acquisition of Tele Columbus by Kabel Deutschland</w:t>
        <w:br/>
        <w:t>Industry: Broadband cable networks, broadcasting, broadband connections</w:t>
        <w:br/>
        <w:t>File Number: B 7 – 70/12</w:t>
        <w:br/>
        <w:t>Date of Decisions: February 22, 2013</w:t>
        <w:br/>
        <w:t>The Federal Cartel Office prohibited on February 22, 2013, the acquisition of Tele Columbus GmbH, Berlin, by Kabel Deutschland Holding AG, Munich. The merger would have led to the strengthening of the jointly existing dominant position with the cable network operator Unitymedia/KabelBW in the nationwide end-customer market for multi-user contracts ("permission market"). In addition, the dominant positions of Kabel Deutschland in the feed-in market and the signal supply market would have been strengthened. Although the merger would have resulted in certain structural improvements in the provision of telephony and internet access in competition with Deutsche Telekom, these improvements did not outweigh the negative competitive effects, even in conjunction with offered divestiture commitments. Kabel Deutschland ("KDG") is the largest cable network operator in Germany with over 8.5 million customers. Geographically, KDG is present throughout the Federal Republic, except for NRW, Hesse, and Baden-Württemberg. The offerings include, in particular, analog and digital television, but also internet and telephony via television cable as well as other media services. In the last financial year, the Kabel Deutschland Group achieved a revenue of nearly EUR 1.7 billion. Tele Columbus operates cable networks primarily in eastern Germany, but also in some regions of western Germany. Tele Columbus supplies approximately 1.6 million residential units with cable connections. About three-quarters of the residential units are located in KDG's area of operation, with the remainder in the area of Unitymedia/Kabel BW. In addition to broadcast signals, customers are also offered internet and telephony services. These additional services are provided by Tele Columbus itself via its own infrastructure or routed as offerings from other cable network operators, particularly KDG or Unitymedia/KabelBW, depending on the existing company infrastructure. Recently, the Tele Columbus Group achieved total revenue of nearly EUR 220 million.</w:t>
      </w:r>
    </w:p>
    <w:p>
      <w:r>
        <w:t>2</w:t>
        <w:br/>
        <w:t>The merger particularly concerned the nationwide end-customer market for multi-user contracts for the cable-based supply of broadcast signals ("permission market"). Demanders in this market are owners of residential properties with multiple households who demand the supply of analog or digital TV signals, pay a fee for this, and "permit" the provider access to the property. These are primarily companies in the housing industry, but also include homeowners' associations or private property owners. KDG, together with Unitymedia/KabelBW, forms a dominant duopoly in the nationwide delineated permission market. Together, they hold a market share of 65 - 75%. Tele Columbus is the next largest competitor with a market share of 5 - 15%. The remaining providers achieve market shares of mostly significantly below 5%. The market is characterized by structural features that allow KDG and Unitymedia/KabelBW to implicitly coordinate their behavior by refraining from competing in each other's areas of operation. Furthermore, the market is sufficiently transparent to recognize competitive initiatives and respond to them in the short term. None of the competitors is currently able to destabilize the behavioral coordination of the duopolists and effectively restrict their behavioral leeway. This also applies to Deutsche Telekom, which has so far only a minor significance in the permission market. With the acquisition of Tele Columbus by KDG, the largest of the few remaining external competitors would have been eliminated. As investigations have shown, KDG and Tele Columbus often have largely parallel network infrastructures, particularly in several eastern German cities. These infrastructures are already largely broadband-capable. In addition, Tele Columbus also has broadband-capable infrastructure to some extent in the area of Unitymedia/KabelBW. Tele Columbus is currently actively using this infrastructure in competition and thus exerts a certain competitive pressure on the duopolists at least at specific points. This competitive pressure from Tele Columbus, which is particularly directed against KDG due to the geographical area of operation, would have disappeared as a result of the merger. This would have particularly affected areas where KDG and Tele Columbus have parallel, broadband-capable infrastructures. Furthermore, competition would have ceased in areas where parallel infrastructures exist but are only partially or not yet broadband-capable. At least 900,000 of the residential units connected to Tele Columbus networks would be affected by this. A loss of potential competition would finally have been feared where Tele Columbus currently supplies customers through signal delivery by KDG, affecting several hundred thousand residential units as well. The significant competitive deterioration in this part of Tele Columbus's network area as a result of a merger would not have been offset by any substantial improvement in competitive conditions in the subregions of NRW and Hesse of the permission market, contrary to the submissions of the notifying companies.</w:t>
      </w:r>
    </w:p>
    <w:p>
      <w:r>
        <w:t>3</w:t>
        <w:br/>
        <w:t>Furthermore, the merger would have led to the strengthening of KDG's dominant position in the feed-in market. In the feed-in market, a cable network operator offers TV broadcasters the transport of analog and digital FreeTV or PayTV programs in its cable network. The feed-in market also includes technical services for the operation of a digital platform, which are necessary for the implementation of an encrypted TV offering and are usually offered together with the feed-in. At its core, a digital platform consists of the provision of the encryption system, smart card management, and access to a compatible set-top box base. Geographically, KDG's network represents a distinct spatial market. Prior to the merger, KDG held a dominant position in the market for the feed-in of broadcast signals into its broadband cable network. Households connected to KDG's network can only be reached via the KDG network, making it a monopoly of KDG. With approximately 8.5 million households supplied with broadcast signals via the KDG network, KDG is so large that the feed-in into the KDG network is indispensable for most TV broadcasters. Thus, KDG already had uncontrolled behavioral leeway towards most TV broadcasters before the merger. Through the merger, KDG would have acquired the entire broadband cable network of TC, thereby expanding its own network by almost 1 million residential units that are currently supplied by Tele Columbus via disconnected networks. This increase in reach would have further enlarged KDG's behavioral leeway towards TV broadcasters. Finally, the planned merger would have strengthened KDG's individual market-dominating position in the signal supply markets located within KDG's network area. According to the Office's previous practice, a distinct relevant market for the signal supply of NE4 operators (Network Level 4, building network for signal transmission within properties/buildings) by NE3 operators (Network Level 3, cable headend as well as distribution network to the house connection points) is to be delineated. The existence of a distinct market for the delivery of signals for a fee between NE3 and NE4 operators is originally the result of the historically political separation of NE3 and NE4. In spatial terms, regional or local markets are generally relevant in the area of signal delivery. In this regard, KDG holds a dominant position in signal delivery within its network coverage area. Even before the merger, KDG was only in very few signal delivery markets.</w:t>
      </w:r>
    </w:p>
    <w:p>
      <w:r>
        <w:rPr>
          <w:b/>
        </w:rPr>
        <w:t>[Pages 4–6]</w:t>
      </w:r>
    </w:p>
    <w:p>
      <w:r>
        <w:t>4</w:t>
        <w:br/>
        <w:t>markets and ultimately exposed to very limited current competition from alternative signal suppliers. The existing dominant position of KDG in the signal supply markets would have been slightly—but noticeably—strengthened by the planned merger with Tele Columbus. As a result of the merger, Tele Columbus would have ceased to be an occasional current, but often potential, alternative signal provider for NE4 operators in the KDG area.</w:t>
      </w:r>
    </w:p>
    <w:p>
      <w:r>
        <w:t>In the also affected individual user market for the cable-based supply of broadcast signals, the existing dominant position would not have been strengthened as a result of the merger. In the Pay-TV rights market, the merger would also not have led to the creation or strengthening of a dominant position.</w:t>
      </w:r>
    </w:p>
    <w:p>
      <w:r>
        <w:t>The merger participants have presented improvements in competitive conditions in the markets for broadband and narrowband connection products within the framework of the balancing clause. These improvements were—also in connection with offered commitments—not suitable, in an overall assessment, to outweigh the disadvantages of the deterioration in the market for multi-user contracts dominated by KDG, as well as in the dominated feed-in market and the dominated signal supply market. However, the improvement effects presented by the merger participants were only partially structural improvements, of which only a part would have been causally brought about by the merger.</w:t>
      </w:r>
    </w:p>
    <w:p>
      <w:r>
        <w:t>Overall, the notifying companies presented four different categories of improvements. First, connectable residential units could be upgraded to broadband capability because the merger of KDG and Tele Columbus networks would achieve a "critical mass" for the first time (referred to by the applicants as "Category 1"; 0 - 50,000 residential units). Second, residential units connected to NE4 networks of one cable network operator could be connected to nearby, already developed NE3 networks of the other cable network operator ("Category 2"; 300,000 - 350,000 residential units). Third, Tele Columbus residential units that are currently connected to KDG networks via signal supply but are only partially upgraded to broadband capability on NE4 would in the future be supplied with broadband products ("Category 3"; 200,000 - 300,000 residential units). Although these residential units could technically receive broadband services already—possibly after an upgrade of NE4—a contractual agreement between KDG and Tele Columbus regarding the broadband supply of these residential units would be difficult for commercial reasons. Finally, fourth, additional residential units that are technically connected to the Tele Columbus network but have not concluded a contract for TV supply could be served with broadband connections ("Category 4"; 200,000 - 300,000 residential units). Although Tele Columbus is technically capable of offering such so-called "solo products" and does practice this, it would not actively market them.</w:t>
      </w:r>
    </w:p>
    <w:p>
      <w:r>
        <w:t>While the improvements of Categories 1 and 2 were regarded by the decision-making department as structural and causally linked to the merger, Category 3 was considered not to be a significant structural improvement and predominantly not causally brought about by the merger. Category 4 was neither regarded as a structural improvement nor as caused by the merger. The demonstrated structural improvements would have had only minor effects on the broadband market. This is partly due to their limited scope, which would have led to market share shifts of less than 1% in the long term. On the other hand, the improvements are relativized by the fact that there is already significant competitive pressure from cable network operators on the potentially still dominant Deutsche Telekom AG in this market. In the balancing, these improvement effects were considered overall insufficient to outweigh the serious competitive deteriorations in the affected markets.</w:t>
      </w:r>
    </w:p>
    <w:p>
      <w:r>
        <w:t>Finally, from the perspective of the decision-making department, the commitments offered by the merger participants were also not suitable to eliminate the competitive deteriorations. The companies offered to sell broadband-capable network infrastructure of Tele Columbus to a third buyer. This infrastructure is connected to approximately 400,000 to 450,000 residential units. It is located in the cities of Berlin, Dresden, and Cottbus. There, both companies have a largely parallel infrastructure, so that the competitive relationship between the two was intense before the merger. However, the commitments did not cover infrastructure in several other areas where there are also largely parallel, broadband-capable infrastructures. Furthermore, the commitments did not address competitive deteriorations in areas where parallel infrastructures exist but have not yet been or are only partially broadband-capable. This affects Tele Columbus networks, to which at least 900,000 residential units are connected in total. In areas where Tele Columbus currently supplies customers through signal delivery by KDG, the loss of potential competition would have been feared. This would also have affected several hundred thousand residential units connected to Tele Columbus networks. Even considering possible improvement effects on the markets for broadband and narrowband connections, the commitments would not have led to the elimination of the remaining competitive deteriorations.</w:t>
      </w:r>
    </w:p>
    <w:p>
      <w:r>
        <w:t>The decision is not yet legally binding. KDG has filed an appeal against the prohibition decision, which is to be decided by the Higher Regional Court of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