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http://www.bundeskartellamt.de/SharedDocs/Entscheidung/DE/Fallberichte/Fusionskontrolle/2016/B7-75-16.pdf;jsessionid=925230F7415A3A6C825A2179ACC77044.1_cid362?__blob=publicationFile&amp;v=2</w:t>
      </w:r>
    </w:p>
    <w:p>
      <w:r>
        <w:t>Pages translated : 2</w:t>
      </w:r>
    </w:p>
    <w:p/>
    <w:p>
      <w:r>
        <w:rPr>
          <w:b/>
        </w:rPr>
        <w:t>[Pages 1–2]</w:t>
      </w:r>
    </w:p>
    <w:p>
      <w:r>
        <w:t xml:space="preserve">1  </w:t>
        <w:br/>
        <w:t xml:space="preserve">Case Report July 4, 2016  </w:t>
        <w:br/>
        <w:t xml:space="preserve">Approval of a Joint Venture by Gruner + Jahr and the Landwirtschaftsverlag, Münster  </w:t>
        <w:br/>
        <w:t xml:space="preserve">Sector: Consumer Magazines  </w:t>
        <w:br/>
        <w:t xml:space="preserve">File Number: B7-75/16  </w:t>
        <w:br/>
        <w:t xml:space="preserve">Date of Decision: June 10, 2016  </w:t>
        <w:br/>
        <w:t xml:space="preserve">The Federal Cartel Office has approved the establishment of the joint venture Deutsche Medien-Manufaktur GmbH &amp; Co. KG, Münster, by Gruner + Jahr and the Landwirtschaftsverlag Münster in the first phase of merger control review. The involved publishers are consolidating six magazine titles in the joint venture from the segments of Living, Food, and Country Life. These include the titles "Landlust" and "Einfach Hausgemacht" from the Landwirtschaftsverlag as well as the magazines "Essen &amp; Trinken", "Essen &amp; Trinken für jeden Tag", "Living at home", and "Flow" from Gruner + Jahr. According to the investigations of the Federal Cartel Office, it was not expected that the merger would lead to a significant impediment to effective competition. Even after the merger, several significant competitors will exert sufficient competitive pressure.  </w:t>
        <w:br/>
        <w:t xml:space="preserve">Gruner + Jahr, a corporate subsidiary of Bertelsmann SE &amp; Co. KGaA, Gütersloh, publishes numerous consumer magazines. In the area of Living and Food, these include the titles "Living at home", "Schöner Wohnen", "Häuser", and "Essen und Trinken", "Beef", "Jamie", "deli", "Chefkoch.de Magazin".  </w:t>
        <w:br/>
        <w:t xml:space="preserve">The Landwirtschaftsverlag from Münster publishes, in addition to specialized magazines such as the "Landwirtschaftlichen Wochenblatt Westfalen-Lippe" and the magazines "top agrar" and "profi", the consumer magazine "Landlust". Since November 2013, the consumer magazine "Einfach Hausgemacht" has also been published, covering topics related to cooking and household management.  </w:t>
        <w:br/>
        <w:t>The Federal Cartel Office has examined the competitive effects of the merger project on the affected reader and advertising markets.</w:t>
      </w:r>
    </w:p>
    <w:p>
      <w:r>
        <w:t xml:space="preserve">2  </w:t>
        <w:br/>
        <w:t xml:space="preserve">Reader Market  </w:t>
        <w:br/>
        <w:t xml:space="preserve">The decision-making division has considered assigning garden and living magazines, as well as lifestyle magazines and food magazines, to their own reader markets within the general consumer magazine sector. Furthermore, it examined whether country magazines, due to their specific mix of various topics from the areas of garden, living, food, and lifestyle, represent their own reader market. However, the exact market delineation could ultimately be left open, as no significant impediment to effective competition was expected in any constellation: Currently, there are around 30 titles from various publishers available in the area of country magazines alone. The barriers to market entry for garden and living magazines, as well as for food magazines or lifestyle magazines, are low. In these and adjacent segments, new releases from various publishers are frequently observed.  </w:t>
        <w:br/>
        <w:t xml:space="preserve">Advertising Market  </w:t>
        <w:br/>
        <w:t xml:space="preserve">There was also no expectation of a significant impediment to effective competition in the advertising market due to the joint venture. In previously decided cases, the Federal Cartel Office had considered defining the advertising market in the area of general consumer magazines more broadly than the reader market, but ultimately left this open in the results. An exception is made for advertisements in program magazines. Here, it was determined in a merger procedure that these, due to certain peculiarities, form a separate advertising market compared to advertisements in other general consumer magazines. The decision-making division, in the context of examining this merger project, considered the assumption of a separate advertising market for consumer magazines in the areas of Living/Garden, Food, Lifestyle, and Country magazines. However, the question did not need to be conclusively decided. Even after the merger, no significant impediment to effective competition is expected in any constellation.  </w:t>
        <w:br/>
        <w:t xml:space="preserve">1 Decision of April 25, 2014 – B6-98/13 – Funke/Springer / Program Magazines:  </w:t>
        <w:br/>
        <w:t xml:space="preserve">http://www.bundeskartellamt.de/SharedDocs/Entscheidung/DE/Fallberichte/Fusionskontrolle/2014/B6-98-13.pdf?__blob=publicationFile&amp;v=2  </w:t>
        <w:br/>
        <w:t xml:space="preserve">Also see a case report:  </w:t>
        <w:br/>
        <w:t>http://www.bundeskartellamt.de/SharedDocs/Entscheidung/DE/Fallberichte/Fusionskontrolle/2014/B6-98-13.html?nn=3591568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