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https://www.bundeskartellamt.de/SharedDocs/Entscheidung/DE/Entscheidungen/Missbrauchsaufsicht/2025/B7_22_25_GAS.pdf?__blob=publicationFile&amp;v=4</w:t>
      </w:r>
    </w:p>
    <w:p>
      <w:r>
        <w:t>Pages translated : 53</w:t>
      </w:r>
    </w:p>
    <w:p/>
    <w:p>
      <w:r>
        <w:rPr>
          <w:b/>
        </w:rPr>
        <w:t>[Pages 1–3]</w:t>
      </w:r>
    </w:p>
    <w:p>
      <w:r>
        <w:t xml:space="preserve">7. Decision Division  </w:t>
        <w:br/>
        <w:t xml:space="preserve">B7-25/22-GAS  </w:t>
        <w:br/>
        <w:t xml:space="preserve">Order pursuant to  </w:t>
        <w:br/>
        <w:t xml:space="preserve">§ 19a para. 2 sentence 4 in conjunction with § 32b para. 1 GWB  </w:t>
        <w:br/>
        <w:t xml:space="preserve">– Public Version –  </w:t>
        <w:br/>
        <w:t xml:space="preserve">Decision  </w:t>
        <w:br/>
        <w:t xml:space="preserve">In the administrative procedure  </w:t>
        <w:br/>
        <w:t xml:space="preserve">1. Alphabet Inc.  </w:t>
        <w:br/>
        <w:t xml:space="preserve">1600 Amphitheatre Parkway  </w:t>
        <w:br/>
        <w:t xml:space="preserve">Mountain View, CA 94043  </w:t>
        <w:br/>
        <w:t xml:space="preserve">USA  </w:t>
        <w:br/>
        <w:t xml:space="preserve">2. Google Germany GmbH  </w:t>
        <w:br/>
        <w:t xml:space="preserve">ABC-Straße 19  </w:t>
        <w:br/>
        <w:t xml:space="preserve">20354 Hamburg  </w:t>
        <w:br/>
        <w:t xml:space="preserve">– Parties 1 and 2 –  </w:t>
        <w:br/>
        <w:t xml:space="preserve">Representatives of the parties 1 and 2:  </w:t>
        <w:br/>
        <w:t xml:space="preserve">Attorney Dr. Sarah Milde, Attorneys Dr. Malte Frank and Dr. Lukas Kleeberger  </w:t>
        <w:br/>
        <w:t xml:space="preserve">Hengeler Mueller  </w:t>
        <w:br/>
        <w:t xml:space="preserve">Leopoldstraße 8-10  </w:t>
        <w:br/>
        <w:t xml:space="preserve">80802 Munich  </w:t>
        <w:br/>
        <w:t xml:space="preserve">Attorney Dr. Tobias Pukropski  </w:t>
        <w:br/>
        <w:t xml:space="preserve">Rocan Rechtsanwälte PartG mbB  </w:t>
        <w:br/>
        <w:t xml:space="preserve">Louise-Dumont-Str. 5  </w:t>
        <w:br/>
        <w:t xml:space="preserve">40211 Düsseldorf  </w:t>
        <w:br/>
        <w:t xml:space="preserve">3. TomTom N.V.  </w:t>
        <w:br/>
        <w:t xml:space="preserve">De Ruijterkade 154  </w:t>
        <w:br/>
        <w:t xml:space="preserve">1011 AC Amsterdam/Netherlands  </w:t>
        <w:br/>
        <w:t xml:space="preserve">– Joined Party 1 –  </w:t>
        <w:br/>
        <w:t xml:space="preserve">Representative of Joined Party 1:  </w:t>
        <w:br/>
        <w:t xml:space="preserve">Attorney Dr. Moritz Holm-Hadulla  </w:t>
        <w:br/>
        <w:t xml:space="preserve">Gleiss Lutz  </w:t>
        <w:br/>
        <w:t xml:space="preserve">Karl-Scharnagl-Ring 6  </w:t>
        <w:br/>
        <w:t>80539 Munich</w:t>
      </w:r>
    </w:p>
    <w:p>
      <w:r>
        <w:t xml:space="preserve">- 2 -  </w:t>
        <w:br/>
        <w:t xml:space="preserve">4. Cerence Inc.  </w:t>
        <w:br/>
        <w:t xml:space="preserve">1 Burlington Woods Drive, Suite 301A  </w:t>
        <w:br/>
        <w:t xml:space="preserve">Burlington  </w:t>
        <w:br/>
        <w:t xml:space="preserve">Massachusetts / U.S.A.  </w:t>
        <w:br/>
        <w:t xml:space="preserve">– Joined Party 2 –  </w:t>
        <w:br/>
        <w:t xml:space="preserve">Representative of Joined Party 2:  </w:t>
        <w:br/>
        <w:t xml:space="preserve">Attorney Clemens Graf York von Wartenburg  </w:t>
        <w:br/>
        <w:t xml:space="preserve">Dechert LLP  </w:t>
        <w:br/>
        <w:t xml:space="preserve">Avenue Louise 480, Box 13A  </w:t>
        <w:br/>
        <w:t xml:space="preserve">1050 Brussels  </w:t>
        <w:br/>
        <w:t xml:space="preserve">Belgium  </w:t>
        <w:br/>
        <w:t xml:space="preserve">regarding the examination of various behaviors of the parties in connection with  </w:t>
        <w:br/>
        <w:t xml:space="preserve">the Google Automotive Services pursuant to § 19a para. 2 sentence 1 nos. 1, 2, 2a, 3, 3a, 3b, and 5  </w:t>
        <w:br/>
        <w:t xml:space="preserve">GWB1, the 7th Decision Division of the Federal Cartel Office decided on April 9, 2025:  </w:t>
        <w:br/>
        <w:t xml:space="preserve">1. The commitments offered by the parties 1 and 2 in the written submission of March 5, 2025,  </w:t>
        <w:br/>
        <w:t xml:space="preserve">and listed in the annex to this decision are binding.  </w:t>
        <w:br/>
        <w:t xml:space="preserve">2. The proceedings will be suspended to the extent covered by the commitments pursuant to § 19a  </w:t>
        <w:br/>
        <w:t xml:space="preserve">para. 2 sentence 4 in conjunction with § 32b para. 1 sentence 2 GWB.  </w:t>
        <w:br/>
        <w:t xml:space="preserve">3. This order is limited in accordance with sections 9.1–9.3 of the commitments.  </w:t>
        <w:br/>
        <w:t xml:space="preserve">4. The fee for the proceedings, including this decision, amounts to € […] (in words: […] Euro) and will be imposed on the parties 1 and 2 as joint debtors.  </w:t>
        <w:br/>
        <w:t xml:space="preserve">1 Act against Restraints of Competition in the version published on June 26, 2013  </w:t>
        <w:br/>
        <w:t>(Federal Law Gazette I 2013, p. 1750, 3245), last amended by Article 6 of the Act of December 5, 2024 (Federal Law Gazette 2024 I No. 400). - GWB.</w:t>
      </w:r>
    </w:p>
    <w:p>
      <w:r>
        <w:t xml:space="preserve">- 3 -  </w:t>
        <w:br/>
        <w:t xml:space="preserve">Reasons  </w:t>
        <w:br/>
        <w:t xml:space="preserve">A. Facts  </w:t>
        <w:br/>
        <w:t xml:space="preserve">I. Parties  </w:t>
        <w:br/>
        <w:t xml:space="preserve">(1) Alphabet Inc. is a publicly traded holding company established in 2015 for the restructuring of the previously existing Google Group, based in Mountain View (USA), whose subsidiaries operate in various technology sectors. As part of the restructuring, Google Inc. was also integrated into Alphabet Inc. On September 1, 2017, Google Inc. was converted into Google LLC. In Germany, Google is represented through Google LLC by its subsidiary Google Germany GmbH, Hamburg. Together, the parties 1 and 2, as well as the companies affiliated with them pursuant to § 36 para. 2 GWB, are referred to hereinafter as "Google."  </w:t>
        <w:br/>
        <w:t xml:space="preserve">(2) Google forms a multinational corporate group that offers a variety of internet services and software products. Google's offerings include, among others, Android, Android Auto, Android Automotive Operating System ("AAOS"), Android TV, Chrome, Gmail, Google Assistant, Google Automotive Services ("GAS"), Google Calendar, Google Drive, Google Maps, Google Maps Platform ("GMP"), Google News, Google Photos, Google Play, Google Search, Google Wallet, YouTube, and hardware (Pixel smartphone, Chromecast, Google TV, and Google Nest Hub). A detailed overview of Google's business areas is provided in the decision of December 30, 2021, in the proceedings B7-61/21, to which reference is made in this regard.2  </w:t>
        <w:br/>
        <w:t xml:space="preserve">(3) TomTom N.V. (hereinafter: "TomTom") is a public limited company under Dutch law with its headquarters in Amsterdam and listed on the Euronext stock exchange in Amsterdam, Netherlands. The company provides content, software, and services in the field of navigation and maps. It was founded in 1991 as a start-up company based in the Netherlands and now has branches in 30 countries.  </w:t>
        <w:br/>
        <w:t>2 See BKartA, decision of December 30, 2021, B7-61/21, Google, para. 5 et seq.</w:t>
      </w:r>
    </w:p>
    <w:p>
      <w:r>
        <w:rPr>
          <w:b/>
        </w:rPr>
        <w:t>[Pages 4–6]</w:t>
      </w:r>
    </w:p>
    <w:p>
      <w:r>
        <w:t>- 4 -</w:t>
        <w:br/>
        <w:t>(4) Cerence Inc. (hereinafter: "Cerence") based in Burlington (Massachusetts, USA) offers voice-based AI solutions for the automotive industry. The company has several core products, including Cerence Drive, a platform on which voice assistance solutions tailored to the respective customer needs can be developed for vehicle manufacturers, Cerence Assistant, a standardized voice assistant for vehicle manufacturers, and Cognitive Arbitrator, a product that enables interaction with multiple voice assistants in the vehicle.</w:t>
      </w:r>
    </w:p>
    <w:p>
      <w:r>
        <w:t>II. GAS</w:t>
        <w:br/>
        <w:t>(5) The subject of the proceedings are various behaviors of Google in connection with GAS, an offering from Google for in-vehicle infotainment.</w:t>
      </w:r>
    </w:p>
    <w:p>
      <w:r>
        <w:t>1. In-Vehicle Infotainment Systems</w:t>
        <w:br/>
        <w:t>(6) In-vehicle infotainment ("IVI") systems are understood to be systems used in vehicles for information, entertainment, and communication. IVI systems consist of hardware components (including a screen for displaying routes and often also for controlling services via swipe gestures) and software components. Necessary software components include an operating system. An essential component of an IVI system is a service through which drivers are guided to their destination with corresponding navigation instructions during driving, receive information about their routes such as distance, alternatives, and estimated arrival time, and can search for places or information about places. Such a service is referred to as a "mapping service."3 Typically, an IVI system also includes a voice assistant, which plays a significant role in IVI systems to minimize distractions when accessing or operating services. Increasingly, an app store is also part of an IVI system, through which additional services are available. Furthermore, IVI systems are increasingly being expanded with additional elements such as voice telephony, messaging services, music streaming services, among others. This is also influenced by the widespread use of smartphones and other mobile devices, on which a variety of digital services are available through apps, leading to growing expectations from end users regarding IVI systems.</w:t>
      </w:r>
    </w:p>
    <w:p>
      <w:r>
        <w:t>(7) Almost all IVI systems now offer the ability to mirror a smartphone onto the user interface of the IVI system ("Smartphone Projection"). For this purpose, Google (for Android devices) has developed the application Android Auto, and Apple (for iOS devices) has developed the application Apple CarPlay. Vehicle manufacturers integrate corresponding interfaces into their respective IVI systems. Smartphone Projection allows the use of the respective smartphone through the IVI system. However, premium vehicle manufacturers are increasingly equipping their vehicles with standalone IVI systems to offer an expanded range of functions (such as controlling vehicle functions).</w:t>
      </w:r>
    </w:p>
    <w:p>
      <w:r>
        <w:t>(8) IVI systems are set up so that end users can use them immediately ("out-of-the-box"). For this purpose, applications such as mapping services or app stores are pre-installed, covering the essential functions of an IVI system. Furthermore, default settings are often in place, i.e., the presetting of a service, e.g., for functions such as voice recognition or voice control by a voice assistant, which is activated if end users do not make any other settings. Default settings, as well as the placement of services in the screen display, are relevant for the frequency of service usage. They play a particularly significant role when services with comparable functions are included in an IVI system or can be downloaded and installed by end users.</w:t>
      </w:r>
    </w:p>
    <w:p>
      <w:r>
        <w:t>2. Google's Activities in the Automotive Sector</w:t>
        <w:br/>
        <w:t>(9) Google, operator of internet services with partly very high reach, especially for use on mobile devices,4 is increasingly offering services for use in vehicles.</w:t>
      </w:r>
    </w:p>
    <w:p>
      <w:r>
        <w:t>(10) With the introduction of the aforementioned service Android Auto, Google enables the mirroring of an Android smartphone onto the user interface of an IVI system. Through Google Play, Google offers corresponding apps. These must meet certain requirements set by Google, particularly to prevent distractions for drivers.</w:t>
      </w:r>
    </w:p>
    <w:p>
      <w:r>
        <w:t>(11) Through the GMP, Google offers various services (routing services, real-time traffic information, as well as address and location searches) to commercial users, which can also be used as or for mapping services in IVI systems. However, Google has so far contractually partially restricted the interoperability of the GMP services with third-party services and fundamentally excludes their use in IVI systems.</w:t>
      </w:r>
    </w:p>
    <w:p>
      <w:r>
        <w:t>(12) Since 2018, Google has been offering GAS to vehicle manufacturers for licensing. This is a product suite consisting of versions of Google Maps, Google Play, and Google Assistant, which are adapted for use in vehicles and require the operating system AAOS.5 AAOS is an operating system developed by Google for services in IVI systems, which includes the complete program code and all interfaces of the Android operating system, as well as additional interfaces to support interaction between apps and vehicle hardware. The combination of GAS and AAOS will hereinafter be referred to as the "GAS Infotainment Platform," following the terminology used by Google in contractual texts. The services Google Maps, Google Play, and Google Assistant as part of GAS will hereinafter be collectively referred to as "GAS software components," according to the definition used by Google in its commitments offer. However, this does not imply that Google Maps, Google Play, and Google Assistant as part of GAS are dependent components of a total product "GAS."</w:t>
      </w:r>
    </w:p>
    <w:p>
      <w:r>
        <w:t>(13) Since 2022, Google has been developing the Auto SDK (formerly known as Google Maps OEM SDK).6 With it, vehicle manufacturers are to be able to design the user interface of the mapping service for IVI systems themselves. Google's behaviors in connection with the Auto SDK are not the subject of these proceedings and this decision. This decision does not preclude a later consideration of behaviors in connection with the Auto SDK.</w:t>
      </w:r>
    </w:p>
    <w:p>
      <w:r>
        <w:t>5 Hereinafter, these designations refer to the versions used for IVI systems. Google uses the addition "Built-in" for this purpose.</w:t>
        <w:br/>
        <w:t>6 An SDK ("Software Development Kit") is generally understood to be a collection of components for software development.</w:t>
      </w:r>
    </w:p>
    <w:p>
      <w:r>
        <w:rPr>
          <w:b/>
        </w:rPr>
        <w:t>[Pages 7–9]</w:t>
      </w:r>
    </w:p>
    <w:p>
      <w:r>
        <w:t>- 7 -</w:t>
        <w:br/>
        <w:t>(14) Google's offerings for a voice assistant solution for IVI systems, the Cloud Custom Assistant, and a standalone version of Google Play, the "Google Play Store," are still in the project stage.7</w:t>
      </w:r>
    </w:p>
    <w:p>
      <w:r>
        <w:t>3. Google's agreements with vehicle manufacturers for the use of GAS in IVI systems</w:t>
        <w:br/>
        <w:t>(15) In connection with GAS, Google enters into various agreements with vehicle manufacturers.</w:t>
        <w:br/>
        <w:t>(16) The GAS license agreement grants vehicle manufacturers the right to use the services Google Maps, Google Play, and Google Assistant in exchange for a license fee. A separate acquisition of the services is not possible. Additionally, in recent years, licensees have been contractually obligated to prominently display Google Maps, Google Play, and Google Assistant on the screen and to set Google Maps and Google Assistant as default services. Google has recently removed these provisions from the template of the GAS license agreement and from the GAS UX Requirements to be observed by GAS licensees, as well as revised extension agreements accordingly. Google has stated to GAS licensees that no rights can be derived from the aforementioned provisions.8</w:t>
        <w:br/>
        <w:t>(17) Finally, Google entered into a Revenue Share Agreement ("RSA") with two car brands, which has since been terminated. The agreement provided for a share of the advertising revenues generated with the Google Assistant, on the condition that no other voice assistant is installed in the GAS infotainment platform.</w:t>
      </w:r>
    </w:p>
    <w:p>
      <w:r>
        <w:t>III. Procedural History</w:t>
        <w:br/>
        <w:t>(18) The proceedings stem from a complaint against Google's behaviors in connection with GAS, which TomTom submitted to the Federal Cartel Office on August 4, 2021.7 The complaint also concerns behaviors related to GMP (see para. 11), which are the subject of a parallel proceeding.9</w:t>
        <w:br/>
        <w:t>(19) On February 14, 2022, the Decision Division informed Google about the initiation of proceedings on suspicion of abusive conduct pursuant to § 19a para. 2 GWB as well as §§ 19, 20 GWB and Article 102 of the Treaty on the Functioning of the European Union (TFEU)10 in connection with the offerings GMP, GAS, and AAOS. The LKB Hamburg was notified of the initiation of proceedings on the same day pursuant to § 49 para. 1 GWB.</w:t>
        <w:br/>
        <w:t>(20) During the investigations, the Decision Division conducted numerous discussions with various market participants and requested written information from Google as well as competitors of the services included in GAS. At the request of the Federal Cartel Office pursuant to Article 12 of Regulation 1/2003, the European Commission transmitted information from surveys of vehicle manufacturers or providers of voice assistants from the proceeding AT.40722 – Google Voice Assistant. The surveyed companies agreed to the use of the information also for the purposes of § 19a GWB.</w:t>
        <w:br/>
        <w:t>(21) On August 4, 2022, TomTom was invited to the proceedings, and on May 25, 2023, Cerence was invited.</w:t>
        <w:br/>
        <w:t>(22) The Decision Division granted the parties access to the main file existing up to that point as well as to the ancillary files conducted for the investigations at various times. TomTom also received access to the files multiple times. Cerence received access to the TomTom complaint on June 2, 2023, and on August 11, 2023, to various parts of the files named by Cerence.</w:t>
        <w:br/>
        <w:t>(23) On June 21, 2023, Google was sent a hearing letter in the form of a draft decision. Google responded to this on August 9, 2023. Regarding the notice from July 20, 2023, that the suspension of implementation deadlines provided for in the draft decision in the event of a request for an order for the suspensive effect of one of the parties might not be warranted, Google responded on August 31, 2023. On October 30, 2024, the Decision Division sent Google another hearing letter in the form of a draft decision based on § 32 GWB, to which Google responded on December 4, 2024, and TomTom on December 6, 2024, while Cerence refrained from making a statement.</w:t>
        <w:br/>
        <w:t>(24) Google only partially agreed to the disclosure of the first hearing letter to the interveners in the extent intended by the Decision Division and filed a preventive injunction complaint with the Federal Court of Justice against further disclosure. Subsequently, on July 27, 2023, a version of the hearing letter was transmitted to the interveners, in which the disputed passages were redacted. The interveners responded to the hearing letter in this version on October 17, 2023, and October 22, 2023. Following the decision of the Federal Court of Justice on February 20, 2024 (KVB 69/23), the Decision Division disclosed the hearing letter to the interveners to a greater extent and requested clarification on individual factual issues. The interveners responded on March 22, 2024, and March 27, 2024.</w:t>
        <w:br/>
        <w:t>(25) On November 8, 2023, Google made an initial proposal for commitments to address the concerns communicated by the Decision Division after preliminary assessment. In this context, vehicle manufacturers and suppliers were asked for their assessment and to answer a series of factual questions as part of a market test. On March 27, 2024, Google was granted access to the ancillary file conducted for this market test. In a letter of the same day, the Decision Division informed Google of the points in which, in light of the results of the market test, the proposal for commitments to terminate the proceedings was unsuitable. In particular, the Decision Division pointed out that to address the concerns existing after preliminary assessment regarding the bundling of services in GAS, it was necessary to offer individual services that are equivalent in functional and economic terms. Furthermore, Google must comprehensively refrain from contractual regulations regarding default settings and prominent placement of services, i.e., also for a possible offering of individual services.</w:t>
        <w:br/>
        <w:t>(26) Subsequently, on May 13, 2024, Google made a new proposal for commitments, taking into account the indications of the Decision Division, which was subject to a second market test after some adjustments. After further discussion</w:t>
      </w:r>
    </w:p>
    <w:p>
      <w:r>
        <w:rPr>
          <w:b/>
        </w:rPr>
        <w:t>[Pages 10–12]</w:t>
      </w:r>
    </w:p>
    <w:p>
      <w:r>
        <w:t>- 10 -</w:t>
        <w:br/>
        <w:t>of various proposals and the hearing on a termination of proceedings based on § 32 GWB by sending a draft decision on October 30, 2024, Google offered binding commitments in a letter dated March 5, 2025 – without prejudice to the company's position that the intervention requirements of § 19a para. 2 sentence 1 GWB are not met.</w:t>
      </w:r>
    </w:p>
    <w:p>
      <w:r>
        <w:t>(27) During the proceedings, the Decision Division exchanged views multiple times with the European Commission. On July 17, 2024, the Decision Division communicated the draft of the intended § 32b GWB decision to the European Commission in accordance with Article 38 para. 3 of the Digital Markets Act (DMA).11 The European Commission responded to this on August 14, 2024.</w:t>
      </w:r>
    </w:p>
    <w:p>
      <w:r>
        <w:t>(28) On March 7, 2025, the Decision Division provided Google and on March 11, 2025, the intervenor with the opportunity to comment on the draft decision. On March 28, 2025, Google and on March 21, 2025, TomTom commented on the draft decision. Cerence refrained from submitting comments.</w:t>
      </w:r>
    </w:p>
    <w:p>
      <w:r>
        <w:t>B. Preliminary Legal Assessment</w:t>
      </w:r>
    </w:p>
    <w:p>
      <w:r>
        <w:t>(29) According to the preliminary assessment, the following behaviors of Google realize several prohibitory offenses or rule examples of § 19a para. 2 sentence 1 GWB:</w:t>
        <w:br/>
        <w:t>- Bundling of Google Maps, Google Play, and Google Assistant in GAS,</w:t>
        <w:br/>
        <w:t>- Participation of vehicle manufacturers in advertising revenues on the condition that no services with comparable functions are installed in IVI systems,</w:t>
        <w:br/>
        <w:t>- Contractual provisions regarding default settings and prominent placement of services in the GAS license agreement,</w:t>
        <w:br/>
        <w:t>- Restrictions on the interoperability of GAS services with third-party services.</w:t>
      </w:r>
    </w:p>
    <w:p>
      <w:r>
        <w:t>11 Regulation (EU) 2022/1925 of the European Parliament and of the Council of September 14, 2022, on contestable and fair markets in the digital sector and amending Directives (EU) 2019/1937 and (EU) 2020/1828 (Digital Markets Act).</w:t>
      </w:r>
    </w:p>
    <w:p>
      <w:r>
        <w:t>- 11 -</w:t>
        <w:br/>
        <w:t>I. No Application Barrier from the DMA</w:t>
      </w:r>
    </w:p>
    <w:p>
      <w:r>
        <w:t>(30) The DMA does not preclude the application of § 19a para. 2 GWB and the issuance of the present decision based on § 19a para. 2 sentence 4 in conjunction with § 32b para. 1 GWB. The decision maintains the framework of Article 1 para. 6 sentence 2 lit. b) DMA. According to this provision, the DMA does not affect national competition rules that prohibit other forms12 of unilateral conduct, as long as they are applied to companies other than gatekeepers or impose further obligations on gatekeepers. § 19a GWB is a national competition rule aimed at capturing unilateral conduct in the sense of Article 1 para. 6 sentence 2 lit. b) DMA.</w:t>
      </w:r>
    </w:p>
    <w:p>
      <w:r>
        <w:t>(31) The present commitment decision is directed against Google and thus against a gatekeeper in the sense of the DMA. On September 5, 2023, the European Commission designated Google as a gatekeeper within the meaning of Article 3 DMA.13 The designation decision lists the relevant core platform services according to Article 3 para. 9 DMA: Google Maps, Google Play, Google Shopping, YouTube, Google Search, Chrome, Google Android (excluding AAOS), and Google's advertising services (including parts of Google Analytics that can be used for advertising purposes).</w:t>
      </w:r>
    </w:p>
    <w:p>
      <w:r>
        <w:t>(32) The commitments impose further obligations on Google in the sense of Article 1 para. 6 sentence 2 lit. b) DMA, as they either concern Google services that are not listed as core platform services representing an important gateway for commercial users to end users in the European Commission's decision of September 5, 2023, or because they concern Google Maps or Google Play but represent further obligations compared to the commitments currently applicable to Google under the DMA regarding Google Maps and Google Play.</w:t>
      </w:r>
    </w:p>
    <w:p>
      <w:r>
        <w:t>12 This is to be understood as a supplement to the competition law provisions referred to in Article 1 para. 6 sentence 1 and Article 1 para. 6 sentence 2 lit. a) DMA, i.e., Articles 101 and 102 TFEU as well as corresponding national provisions, which are always applicable alongside the DMA, and is therefore not a restrictive element of the offense.</w:t>
      </w:r>
    </w:p>
    <w:p>
      <w:r>
        <w:t>13 European Commission, Decision of September 5, 2023, designating Alphabet as a gatekeeper, C(2023) 6101 final, para. 70 et seq.</w:t>
      </w:r>
    </w:p>
    <w:p>
      <w:r>
        <w:t>- 12 -</w:t>
        <w:br/>
        <w:t>II. Application of § 19a para. 2 sentence 1 GWB</w:t>
      </w:r>
    </w:p>
    <w:p>
      <w:r>
        <w:t>(33) The preliminary assessment of the Decision Division is based on § 19a para. 2 sentence 1 nos. 1, 2, 2a, 3, 3a, 3b, 5 GWB.14 Google is also the addressee of the prohibitory offenses or rule examples of § 19a para. 2 sentence 1 GWB, as the Decision Division determined on December 30, 2021, in accordance with § 19a para. 1 sentence 1 GWB, that Google has a significant cross-market importance for competition.15</w:t>
      </w:r>
    </w:p>
    <w:p>
      <w:r>
        <w:t>1. Bundling of Services</w:t>
      </w:r>
    </w:p>
    <w:p>
      <w:r>
        <w:t>(34) The bundling of the GAS services in license agreements meets the requirements of the rule examples of § 19a para. 2 sentence 1 no. 3a GWB (Automatic linking of the use of one offering with another offering that is not necessary for it without sufficient choices) and § 19a para. 2 sentence 1 no. 3b GWB (Making the use of one offering dependent on the use of another offering) as well as the basic offense of § 19a para. 2 sentence 1 no. 3 GWB (Hindering competitors in a market where the norm addressee can quickly expand its position, even without being dominant) and the requirements of the prohibitory offense of § 19a para. 2 sentence 1 no. 2 GWB (Hindering other companies in their business activities in procurement or sales markets through measures of the norm addressee, whose activity is significant for access to these markets).</w:t>
      </w:r>
    </w:p>
    <w:p>
      <w:r>
        <w:t>(35) Google connects, according to the preliminary assessment, through the GAS license agreements the use of the GAS services by vehicle manufacturers with the automatic use of the respective other GAS services, without this being necessary, and does not provide sufficient choices (§ 19a para. 2 sentence 1 no. 3a GWB). In doing so, the Decision Division has assumed the following:</w:t>
      </w:r>
    </w:p>
    <w:p>
      <w:r>
        <w:t>(36) The services included in GAS are each independent offerings and not dependent components of an integrated product GAS. According to the results of the investigation, the types of services in question (mapping services, app</w:t>
      </w:r>
    </w:p>
    <w:p>
      <w:r>
        <w:t>14 Due to the foreseeable earlier decision readiness of the proceedings under § 19a GWB, the requirements of a possibly parallel existing violation of Article 102 TFEU or § 19 GWB were not further investigated.</w:t>
      </w:r>
    </w:p>
    <w:p>
      <w:r>
        <w:t>15 BKartA, Decision of December 30, 2021, B7-61/21, Google.</w:t>
      </w:r>
    </w:p>
    <w:p>
      <w:r>
        <w:rPr>
          <w:b/>
        </w:rPr>
        <w:t>[Pages 13–15]</w:t>
      </w:r>
    </w:p>
    <w:p>
      <w:r>
        <w:t>- 13 -</w:t>
        <w:br/>
        <w:t>(Stores and voice assistants) are generally offered and demanded separately in the market. Through the bundling in the GAS license agreements, Google, according to preliminary assessment,16 deliberately deviates from the market-standard mix-and-match approach, which allows vehicle manufacturers or suppliers commissioned by them to choose between services from different providers and to develop or assemble an IVI system from various services according to their needs. Vehicle manufacturers, for whom one of the services included in GAS is superior to other offerings available in the market and who therefore choose GAS, are forced to also acquire all other services included in GAS, even though offers from Google's competitors may be more suitable to meet their respective needs. The fact that some vehicle manufacturers prefer to acquire an IVI system as a whole does not contradict the assumption of demand for individual services. Because even in a case where an already integrated product is to be acquired, it may make sense from the perspective of demanders to combine products from different providers, possibly with the support of a third party.17 The assumption of independent services is also not contradicted by the fact that some of the services included in GAS partially access functions of the respective other services. Such interlinking of services is not specific to GAS and does not lead to GAS being considered as an integrated product or the connection being deemed necessary. Because even with the previously market-standard combination of comparable services from different providers in an IVI system, the cooperation of these services (e.g., a voice assistant with a mapping service) already functions. Also, with regard to updates, which in GAS are centrally provided for all services via Google Play, the connection is not necessary. In the solutions available in the market, updates occur in other ways, without this calling into question the functionality of an IVI system based on mix-and-match.</w:t>
      </w:r>
    </w:p>
    <w:p>
      <w:r>
        <w:t>16 Google, on the other hand, argues that with GAS it has responded to an existing demand for pre-integrated solutions.</w:t>
      </w:r>
    </w:p>
    <w:p>
      <w:r>
        <w:t>17 See in this context regarding Article 102 TFEU, General Court, judgment of September 17, 2007, T-201/04, Microsoft v Commission, para. 922 et seq.</w:t>
      </w:r>
    </w:p>
    <w:p>
      <w:r>
        <w:t>- 14 -</w:t>
        <w:br/>
        <w:t>(37) The services of GMP18 or the offerings for IVI systems (Auto SDK,20 Cloud Custom Assistant, Google Play Store21) currently still under development as cited by Google are, considering the results of the market test, not an alternative to the GAS services and thus do not provide sufficient choices according to preliminary assessment. In particular, the Auto SDK is a different offering compared to Google Maps. The SDK does not have a user interface, meaning it lacks, among other things, a graphical representation as a map on a screen in the IVI system, which is an integral part of a mapping service. Google Maps, on the other hand, is a pre-integrated and complete mapping service that is directly intended for use by end users.</w:t>
      </w:r>
    </w:p>
    <w:p>
      <w:r>
        <w:t>(38) With GAS, Google, according to preliminary assessment, also makes the use of one of its offerings dependent on the use of another offering (§ 19a para. 2 sentence 1 no. 3b GWB). Due to the provisions of the GAS license agreement, vehicle manufacturers can only use Google Maps, Google Play, and Google Assistant in IVI systems if they simultaneously also use the other two GAS services.</w:t>
      </w:r>
    </w:p>
    <w:p>
      <w:r>
        <w:t>(39) It can be left open in the present case whether and to what extent individual elements of the basic offense of § 19a para. 2 sentence 1 no. 3 GWB must be considered, for example, with regard to the hindrance of competitors, also in the standard examples. Because according to the (alternative) findings of the Federal Cartel Office, the prerequisites of the basic offense are also present according to preliminary assessment.</w:t>
      </w:r>
    </w:p>
    <w:p>
      <w:r>
        <w:t>(40) According to preliminary assessment, Google's behavior hinders competitors in the affected sales markets, i.e., providers of mapping services, app stores, and voice assistants. Google's behavior leads to a relevant restriction of their competitive freedom of action, as Google, through the bundling in the GAS license agreements, creates strong incentives for vehicle manufacturers to license GAS as a whole instead of acquiring individual services (also) from third-party providers. Sales opportunities for providers whose services vehicle manufacturers would otherwise consider as alternatives are thus eliminated. Google is also, according to preliminary assessment, capable of rapidly expanding its market position, as indicated by the continuous expansion of Google's activities in the automotive sector in recent years.</w:t>
      </w:r>
    </w:p>
    <w:p>
      <w:r>
        <w:t>(41) According to preliminary assessment, the prerequisites of the prohibition offense of § 19a para. 2 sentence 1 no. 2 GWB are also present. In particular, the GAS Infotainment Platform has increasing significance for the market access of providers of services for IVI systems. This is also indicated by the previous development, characterized by steadily growing sales figures of vehicles equipped with the GAS Infotainment Platform. The services included in GAS are also among the leading products outside the automotive sector, especially in terms of usage on mobile devices. The bundling of the GAS services in the GAS Infotainment Platform is, according to preliminary assessment, part of Google's strategy to expand its existing ecosystem into the automotive sector, and Google's behavior significantly influences the market access of other providers of services for IVI systems.</w:t>
      </w:r>
    </w:p>
    <w:p>
      <w:r>
        <w:t>(42) Google can also set certain rules that providers must adhere to if their services are to be operated alongside GAS on the GAS Infotainment Platform. In particular, due to the operating system AAOS, Google has an intermediary position that, according to preliminary assessment, allows it to control third-party market access.22</w:t>
      </w:r>
    </w:p>
    <w:p>
      <w:r>
        <w:t>(43) According to preliminary assessment, the behavior in question is also not objectively justified (§ 19a para. 2 sentences 2 and 3 GWB). The examination of objective justification is carried out through a balancing of interests in light of the law's objective aimed at preserving competition.23 In this context, the long-term legislative goals of limiting economic power positions, keeping markets open, and the like must be weighed against (in particular short-term) efficiencies in favor of the affected companies and consumers.</w:t>
      </w:r>
    </w:p>
    <w:p>
      <w:r>
        <w:t>22 The actual behavior of Google is not relevant. Likewise, the determination of the intermediary position does not imply a statement about Google's actual behavior.</w:t>
      </w:r>
    </w:p>
    <w:p>
      <w:r>
        <w:t>23 See justification of the government draft for the 10th amendment to the GWB, Bundestag document 19/23492, p. 77 (3rd paragraph).</w:t>
      </w:r>
    </w:p>
    <w:p>
      <w:r>
        <w:rPr>
          <w:b/>
        </w:rPr>
        <w:t>[Pages 16–18]</w:t>
      </w:r>
    </w:p>
    <w:p>
      <w:r>
        <w:t>- 16 -</w:t>
        <w:br/>
        <w:t>protection of competitive process opportunities is to be given particular weight.24 According to § 19a para. 2 sentence 3 GWB, the burden of proof for the factual justification in individual cases lies with the addressee of the norm.</w:t>
      </w:r>
    </w:p>
    <w:p>
      <w:r>
        <w:t>(44) In the necessary balancing of interests, Google's interests must, based on preliminary assessment, take a back seat to the public interest in protecting competition and the interests of customers, competitors, and end users. In the balancing of interests, the public interest objective of § 19a GWB, which aims to keep markets open and prevent the expansion of the power positions of the addressee of the norm, here Google, through means of non-performance competition, is of substantial importance. § 19a GWB is intended to address the particular dangers that arise for competition from the business models of large digital corporations. The interest of competitors of the addressee of the norm, here Google, in continuing to have access to the market and being able to compete with it in performance competition is also of high significance. Additionally, the interest of customers and end users in having sufficient choices is of considerable weight. It should be noted that the legislator has explicitly anchored the protection of freedom of choice through examples in the law and thereby confirmed the special importance of the interests regularly protected in this way.</w:t>
      </w:r>
    </w:p>
    <w:p>
      <w:r>
        <w:t>(45) In particular, the bundling at issue in this proceeding cannot be justified by the argument that Google is competing with a new product against established providers in the market, some of whom currently still hold strong market positions for the offering of individual products. Google can easily compete with individual offerings of the services Google Maps, Google Play, and Google Assistant, which, according to market participants, are qualitatively superior to other services in at least some areas. A behavior deviating from the means of normal performance competition, such as the bundling of otherwise independent services, is not necessary for this purpose. Advantages, for example, regarding higher product quality or greater security due to better cooperation of the services bundled together compared to the prevailing mix-and-match solutions of interoperable services would need to be substantiated in detail, which Google has not done.</w:t>
      </w:r>
    </w:p>
    <w:p>
      <w:r>
        <w:t>(46) It should also be considered that Google's behavior concerning infotainment in vehicles pertains to an area whose significance for providers of corresponding services and end users is expected to grow further in the future. Google has managed to secure market positions in this area within a short time, and it is expected that Google can further expand these positions. This carries the risk of irreversible changes to market structures through the displacement of other providers. For this reason, it is essential to address the use of non-performance competitive means by addressees of the norm at an early stage, especially when they affect an area of growing economic significance, as is the case here.</w:t>
      </w:r>
    </w:p>
    <w:p>
      <w:r>
        <w:t>2. Granting economic advantages on the condition of not installing services with comparable functions</w:t>
      </w:r>
    </w:p>
    <w:p>
      <w:r>
        <w:t>(47) Agreements made by Google with vehicle manufacturers, which, like the subsequently terminated agreement with two car brands, provided for a share of advertising revenue on the condition that only the Google Assistant is installed as the voice assistant in IVI systems, preliminarily meet the requirements of the example in § 19a para. 2 sentence 1 no. 2a GWB (measures leading to the exclusive pre-installation or integration of offerings from the addressee of the norm). The share of advertising revenue created relevant incentives not to install any other voice assistants in the respective IVI systems alongside the Google Assistant and led – based on a review that is only provisional due to the presence of the example – to a hindrance of other companies, at least to the extent that the competitive freedom of action of other providers of services for IVI systems is impaired by a reduction in their sales opportunities. It appears, based on preliminary assessment by the Decision Division, that Google is likely to enter into such agreements again, also with regard to Google Maps and Google Play. Based on preliminary assessment, any economic advantages for Google, which were of no significance in the now terminated agreements, cannot substantively justify such agreements.</w:t>
      </w:r>
    </w:p>
    <w:p>
      <w:r>
        <w:t>3. Default settings and prominent placement of services</w:t>
      </w:r>
    </w:p>
    <w:p>
      <w:r>
        <w:t>(48) The previously abandoned agreement on default settings and prominent placements on the screen display preliminarily fulfills the prohibitory requirements of § 19a para. 2 sentence 1 no. 2 GWB. The agreements had the potential to reduce the frequency of use of alternative services, for which market access the GAS infotainment platform is becoming increasingly significant, and thus hindered vehicle manufacturers and other providers.</w:t>
      </w:r>
    </w:p>
    <w:p>
      <w:r>
        <w:t>(49) By contractually mandating default settings and prominent placement of their services, Google restricted the design options of their customers and significantly worsened the sales opportunities of competitors. According to the preliminary assessment of the Decision Division, the consequence of these regulations is that a large portion of end users only uses the services set as default or highlighted in the display and does not resort to fundamentally available alternative services with the same functions. This, in turn, also reduces the incentives for vehicle manufacturers to offer their customers alternative services at all.</w:t>
      </w:r>
    </w:p>
    <w:p>
      <w:r>
        <w:t>(50) It should also be considered that due to the bundling in GAS, incentives for obtaining third-party services are already significantly reduced, as the services included in GAS cover essential functions of IVI systems. The contractual regulations related to GAS regarding default settings and prominent placement of GAS services further reduced incentives to install additional third-party services in IVI systems alongside GAS, even though this may generally be in the interest of vehicle manufacturers. By opening up choices in IVI systems equipped with the GAS infotainment platform, they can increase the attractiveness of the respective system. This is particularly true regarding so-called concurrency solutions, where end users can switch between different pre-installed voice assistants in an IVI system using different activation words, thereby selecting the service they deem most suitable for the respective application case.</w:t>
      </w:r>
    </w:p>
    <w:p>
      <w:r>
        <w:t>(51) The contractual arrangements made by Google, which reduced incentives for the pre-installation of alternative services, also resemble provisions for the exclusive pre-installation of services and thus show proximity to the example in § 19a para. 2 sentence 1 no. 2a GWB.</w:t>
      </w:r>
    </w:p>
    <w:p>
      <w:r>
        <w:t>(52) Google, due to its control over the technical access conditions to the GAS infotainment platform, also has an intermediary position in this regard based on preliminary assessment. According to the preliminary assessment of the Decision Division, the regulations at issue concerning default settings and pre-installation in the GAS license agreements with vehicle manufacturers have the potential to affect the visibility and the</w:t>
      </w:r>
    </w:p>
    <w:p>
      <w:r>
        <w:rPr>
          <w:b/>
        </w:rPr>
        <w:t>[Pages 19–21]</w:t>
      </w:r>
    </w:p>
    <w:p>
      <w:r>
        <w:t>- 19 -</w:t>
        <w:br/>
        <w:t>frequency of use of Google's own services to the detriment of competing services. As a result, the competitive freedom of action of competitors is impaired, as the incentives for vehicle manufacturers to license additional services alongside Google's services decrease due to this user behavior. Thus, according to the preliminary assessment, the prohibition condition of § 19a para. 2 sentence 1 no. 1 GWB (Preferential treatment of one's own offerings over those of competitors in the mediation of access to procurement and sales markets) is also fulfilled.</w:t>
      </w:r>
    </w:p>
    <w:p>
      <w:r>
        <w:t>(53) Google's behavior was not objectively justified according to the preliminary assessment (for the fundamental standard see the remarks above, para. 43 f.). In particular, vehicle manufacturers can better orient themselves to the needs of their customers without the contractual requirements for standard settings and prominent placement of services and can design IVI systems accordingly. Contractual requirements from Google are not necessary for this purpose. Against this background, the security interests asserted by Google also do not ultimately justify the clauses, as vehicle manufacturers must already consider security aspects in the design of IVI systems on their own initiative.</w:t>
      </w:r>
    </w:p>
    <w:p>
      <w:r>
        <w:t>(54) According to the preliminary assessment by the Decision Division, there is also a risk of repetition.</w:t>
      </w:r>
    </w:p>
    <w:p>
      <w:r>
        <w:t>4. Competitive hindrance due to lack of interoperability</w:t>
      </w:r>
    </w:p>
    <w:p>
      <w:r>
        <w:t>(55) Finally, Google has, according to the preliminary assessment, in any case in the past refused or hindered the interoperability of services with third-party services (§ 19a para. 2 sentence 1 no. 5 GWB). To what extent this is still the case today can remain open in this decision and is to be examined in the context of enforcement. Google maintains that the company has established complete interoperability through several measures during the proceedings and refers in particular to the development of APIs for collaboration between voice assistants and Google Maps.25</w:t>
      </w:r>
    </w:p>
    <w:p>
      <w:r>
        <w:t>25 Google, statement on the hearing letter of October 30, 2024, para. 31.</w:t>
      </w:r>
    </w:p>
    <w:p>
      <w:r>
        <w:t>- 20 -</w:t>
        <w:br/>
        <w:t>(56) The concepts of refusing and hindering interoperability are to be understood broadly according to the legislator.26 Therefore, the norm encompasses not only technical restrictions.27 In principle, a variety of heterogeneous factors can be considered that may negatively affect the cooperation or interaction of products, including technical, economic, or contractual conditions.</w:t>
      </w:r>
    </w:p>
    <w:p>
      <w:r>
        <w:t>(57) In technical terms, interoperability between services in the IVI system exists when the involved services have interfaces that are disclosed to third-party providers, and these interfaces are sufficiently documented. Interfaces are generally mechanisms that enable two independent services to communicate over a series of definitions and protocols. They allow for the bilateral exchange of data and the reuse of data from one application in another by ensuring the interchangeability and compatibility of the data.28 Economically, a prerequisite for interoperability between multiple services is that the level of fees that may be charged for the use of an interface must not be unreasonable. Contractually, it must be ensured that the use of the interfaces is not unreasonably restricted or not permitted at all.</w:t>
      </w:r>
    </w:p>
    <w:p>
      <w:r>
        <w:t>(58) According to the preliminary assessment, there was in any case in the past no or only limited interoperability between GAS services and (similar) third-party services, while the GAS services are fully interoperable with each other. In particular, Google refused or hindered the interoperability between its voice assistant Google Assistant and services that must be addressed in the context of IVI systems with voice assistants, such as mapping services. Google did not provide the same interfaces for collaboration between services for third-party services as it did for its own GAS services. Google also refused and hindered the interoperability between Google Assistant and other voice assistants. This has, according to the preliminary assessment, resulted in concurrency solutions, where multiple voice assistants can be operated in parallel in an IVI system and addressed in different ways (e.g., activation words or button presses), being at least partially unfeasible.</w:t>
      </w:r>
    </w:p>
    <w:p>
      <w:r>
        <w:t>(59) According to the preliminary assessment, the described refusal or hindrance of interoperability led to a hindrance of competition. Google deviated from the market-standard mix-and-match approach in the development of IVI systems, where it is customary for services from different providers to be combined. However, this requires sufficient interoperability of the services, which would otherwise not function properly. Only in this way can voice assistants, for example, work with third-party mapping services or be used in parallel in an IVI system as part of a concurrency solution. By refusing or hindering interoperability, Google impaired the choices available to vehicle manufacturers. Services that are not sufficiently interoperable with Google's services are not considered for combination with Google's services in IVI systems, although mix-and-match between Google's services and third-party services could, according to the preliminary findings of the Decision Division, be quite sensible from the perspective of vehicle manufacturers with regard to their customers' demands on IVI systems. Accordingly, the economic freedom of action of Google's competitors was also restricted, whose services could otherwise be part of IVI systems in which Google's services are pre-installed, provided there is sufficient interoperability. According to the preliminary assessment by the Decision Division, there is, in the event that the behaviors criticized in the preliminary assessment are terminated, at least a risk of repetition.</w:t>
      </w:r>
    </w:p>
    <w:p>
      <w:r>
        <w:t>(60) The preliminary balancing of interests has shown that Google's interests recede in the context of the balancing of interests.</w:t>
      </w:r>
    </w:p>
    <w:p>
      <w:r>
        <w:t>C. Suspension pursuant to § 32b para. 1 GWB</w:t>
      </w:r>
    </w:p>
    <w:p>
      <w:r>
        <w:t>(61) The Decision Division was able to decide, in accordance with § 19a para. 2 sentence 4 GWB, by corresponding application of § 32b para. 1 GWB in the exercise of due discretion, to declare the commitments offered by the parties in their letter of March 5, 2025, and evident from the annex, binding and to suspend the proceedings to the extent covered by the commitments in accordance with the provision of § 32b para. 1 sentence 2 GWB.</w:t>
      </w:r>
    </w:p>
    <w:p>
      <w:r>
        <w:t>(62) The commitments offered by Google are, according to the assessment of the Decision Division, sufficiently suitable in the scope they cover to address the</w:t>
      </w:r>
    </w:p>
    <w:p>
      <w:r>
        <w:rPr>
          <w:b/>
        </w:rPr>
        <w:t>[Pages 22–24]</w:t>
      </w:r>
    </w:p>
    <w:p>
      <w:r>
        <w:t>- 22 -</w:t>
        <w:br/>
        <w:t>to suspend the proceedings in accordance with the provisions of § 32b para. 1 sentence 2 GWB to the extent covered by the commitments.</w:t>
      </w:r>
    </w:p>
    <w:p>
      <w:r>
        <w:t>(62) The commitments offered by Google are, in the assessment of the Decision Division, sufficiently suitable to address the concerns communicated to Google in the preliminary assessment (see I.). The Decision Division has exercised its discretionary power to conduct a comprehensive evaluation of the circumstances that speak for and against a suspension of the proceedings in accordance with § 32b para. 1 sentence 2 GWB (see II.). The order was to be limited in duration in accordance with § 32b para. 1 sentence 3 GWB to the duration of the offered commitments (see III.).</w:t>
      </w:r>
    </w:p>
    <w:p>
      <w:r>
        <w:t>I. Commitments</w:t>
        <w:br/>
        <w:t>(63) The commitments offered by Google are, in the assessment of the Decision Division, sufficiently suitable to address the concerns communicated to Google in the preliminary assessment.</w:t>
      </w:r>
    </w:p>
    <w:p>
      <w:r>
        <w:t>1. Content of the commitments</w:t>
        <w:br/>
        <w:t>(64) The commitments offered by Google provide for the following (the text of the commitments listed in the annex to this decision is decisive):</w:t>
      </w:r>
    </w:p>
    <w:p>
      <w:r>
        <w:t>(65) With Commitment 1 (Interoperability with GAS), Google commits to create and provide the technical prerequisites for the services included in GAS, namely Google Maps, Google Play, and Google Assistant, collectively referred to as "the GAS software components"29, to cooperate in an equivalent manner and to an equivalent extent with voice assistants, mapping services, and app stores of other providers in IVI systems as the GAS software components do with each other, thereby being fully interoperable with services from other providers. For this purpose, Google will make the necessary interfaces, conditions for the use of the interfaces, and the documentation required for implementation accessible to vehicle manufacturers and their suppliers.</w:t>
      </w:r>
    </w:p>
    <w:p>
      <w:r>
        <w:t>(66) With Commitment 2 (Standalone Version of the GAS Software Components), Google commits to offer vehicle manufacturers integration-ready standalone versions of the GAS software components within a period of nine months from the entry into force of the commitments. The standalone versions will provide equivalent functions to the corresponding GAS software components. The effort required to integrate the standalone versions into vehicles will be equivalent to that of the corresponding GAS software components. The standalone versions will be interoperable with each other and with third-party services in an equivalent manner and to an equivalent extent as the GAS software components are with each other. Google also commits not to unjustifiably delay the achievement of series maturity.</w:t>
      </w:r>
    </w:p>
    <w:p>
      <w:r>
        <w:t>(67) Under Commitment 3 (Termination Rights), Google will grant GAS licensees the right to terminate the GAS license agreement in whole or in part.</w:t>
      </w:r>
    </w:p>
    <w:p>
      <w:r>
        <w:t>(68) According to Commitment 4 (No Granting of Economic Advantages), Google will not promise or grant any economic advantages (such as discounts or participation in advertising revenues) on the condition that no services with comparable functions are pre-installed in IVI systems alongside GAS components and/or standalone versions.</w:t>
      </w:r>
    </w:p>
    <w:p>
      <w:r>
        <w:t>(69) Under Commitment 5 (Placement Provisions and Default Settings), Google will not require contractual partners with whom GAS license agreements or license agreements for standalone versions of GAS software components have been concluded to designate the GAS software components or the standalone versions as standard applications or to comply with specifications for a preferred placement of icons and texts for visualizing GAS software components or the standalone versions. Google will inform contractual partners with an existing GAS license agreement that the corresponding contractual obligations are no longer valid from Google's perspective and will not be enforced.</w:t>
      </w:r>
    </w:p>
    <w:p>
      <w:r>
        <w:t>(70) A monitoring trustee will be appointed to oversee the implementation of the commitments by Google.</w:t>
      </w:r>
    </w:p>
    <w:p>
      <w:r>
        <w:t>2. Evaluation of the commitments</w:t>
        <w:br/>
        <w:t>(71) These commitments are suitable to address the concerns communicated to Google in the preliminary assessment.</w:t>
      </w:r>
    </w:p>
    <w:p>
      <w:r>
        <w:t>(72) The concerns regarding the bundling of Google Maps, Google Play, and Google Assistant in GAS, which exist in the preliminary assessment, are addressed by Commitment 2. The standalone versions must be designed as equivalent alternatives to the GAS software components and must enable vehicle manufacturers30 or suppliers acting on their behalf to combine Google Maps, Google Play, and Google Assistant individually with third-party services in IVI systems. This eliminates the incentives created by the bundling for vehicle manufacturers to obtain no additional services from competitors with similar functions alongside the GAS software components, and the associated hindrance of competitors, whose competitive freedom in the sale of their services is restricted by the bundling, will be effectively terminated. Google also commits that the standalone versions will be interoperable with each other and with third-party services in an equivalent manner and to an equivalent extent as the GAS software components are with each other. This opens up competitive opportunities for vehicle manufacturers, which they can use to develop IVI systems oriented towards the needs of their customers by combining Google's standalone versions with services from other providers. Under Commitment 2, Google is obliged to offer integration-ready standalone versions within nine months. Furthermore, the commitments foresee series versions of the standalone versions as a milestone. The achievement of series maturity depends on corresponding demand from vehicle manufacturers. Google is obliged not to unjustifiably delay the development of the series versions of the respective standalone versions.</w:t>
      </w:r>
    </w:p>
    <w:p>
      <w:r>
        <w:t>(73) With Commitment 4, the risk identified in the preliminary assessment by the Decision Division that Google agrees to a participation of vehicle manufacturers in Google's advertising revenues (or any other form of economic incentives) on the condition that no services with comparable functions are installed in IVI systems alongside GAS components and/or standalone versions is excluded. Thus, Google will not be able to hinder competitors through such agreements. Rather, Google and Google's competitors will compete in the performance competition for the outfitting of IVI systems.</w:t>
      </w:r>
    </w:p>
    <w:p>
      <w:r>
        <w:t>30 Google commits to offering standalone versions to vehicle manufacturers. This expresses that Google's offer of standalone versions is aimed at the same demanders as GAS. There is expressly no reference to a legal definition of the term vehicle. The commitments relate to the GAS offer regardless of the type of vehicles for which the offer is made.</w:t>
      </w:r>
    </w:p>
    <w:p>
      <w:r>
        <w:rPr>
          <w:b/>
        </w:rPr>
        <w:t>[Pages 25–27]</w:t>
      </w:r>
    </w:p>
    <w:p>
      <w:r>
        <w:t>- 25 -</w:t>
        <w:br/>
        <w:t>(74) The danger, as provisionally assessed by the Decision Division, that Google may again impair the competitive freedom of action of competitors and customers in the future through the arrangement of default settings and prominent placement of services is effectively excluded by Commitment 5. Google must refrain from influencing the behavior of end users with these means in order to increase the usage frequency of its own services to the detriment of alternative services. Accordingly, the associated incentives for vehicle manufacturers to refrain from installing alternative services alongside the GAS software components or standalone versions will also cease to exist in the future.</w:t>
      </w:r>
    </w:p>
    <w:p>
      <w:r>
        <w:t>(75) Finally, Commitment 1 is suitable to effectively end the competition hindrance that, based on the provisional assessment, exists due to Google's refusal or hindrance of the interoperability of the GAS software components with services from other providers and to dispel related concerns. Google must permanently provide the necessary interfaces, the conditions for using the interfaces, and the documentation required for implementation to vehicle manufacturers and their suppliers. It remains open to what extent the measures already taken by Google in this regard during the proceedings are sufficient to establish interoperability. The appointment of a Monitoring Trustee, whose tasks also include monitoring the interoperability commitments, ensures that Google fully implements this commitment. The establishment of interoperability opens up greater flexibility for vehicle manufacturers in selecting and assembling suitable services. At the same time, restrictions on the competitive freedom of action of Google's competitors will be removed, as their services can now also be combined with Google's services, and they will have comparable sales opportunities in performance competition with regard to the combinability of services in IVI systems.</w:t>
      </w:r>
    </w:p>
    <w:p>
      <w:r>
        <w:t>(76) With regard to their spatial scope, the commitments are also suitable to effectively address the behaviors of Google that have been provisionally assessed as objectionable. The commitments apply to all IVI systems that are or will be used in vehicles that are approved or can be approved in Germany. Vehicle manufacturers strive to develop IVI systems that can be used across borders, as different equipment depending on the destination or country leads to higher costs. Separate solutions are only developed for compelling reasons, e.g., when services are not available online in certain regions or when services cannot be used due to political or legal restrictions in individual countries. Suppliers accordingly offer components for IVI systems that are generally usable across borders. Vehicle manufacturers can, in accordance with this usual approach in the automotive sector, integrate Google's services into IVI systems of vehicles that are generally intended for sale in multiple countries or regions based on the commitments, without having to make any differentiations beyond the previous scope. The commitments are linked, with respect to the vehicles in which IVI systems are used, to the approval of vehicles in Germany based on Union law, which is generally applicable throughout the EU.31 In accordance with the usual approach in the development and use of IVI systems, the commitments also extend to all IVI systems that are consistent with these IVI systems due to uniform development, notwithstanding any minor deviations in individual cases. The benchmark here is the system image as an industry-wide known, unambiguous criterion.</w:t>
      </w:r>
    </w:p>
    <w:p>
      <w:r>
        <w:t>(77) The effectiveness of the commitments is secured by a circumvention prohibition (Commitment 8). Google commits not to create incentives for the acquisition of bundled GAS software components or for the acquisition of one of the standalone versions of the GAS software components bundled with one or more standalone versions of the GAS software components through pricing (such as discounts), the promise or granting of other economic benefits (such as participation in advertising revenues). Google will conclude contracts for the standalone versions of the GAS software components on a non-discriminatory basis with fair and reasonable contractual terms and also individually. The same applies to any changes to the contractual terms. Google will not unduly delay the development of the series versions of the respective standalone version.</w:t>
      </w:r>
    </w:p>
    <w:p>
      <w:r>
        <w:t>31 See Regulation (EU) 2018/858 of the European Parliament and of the Council of May 30, 2018, on the approval and market surveillance of motor vehicles and their trailers, as well as of systems, components, and independent technical units for these vehicles, amending Regulations (EC) No. 715/2007 and (EC) No. 595/2009 and repealing Directive 2007/46/EC.</w:t>
      </w:r>
    </w:p>
    <w:p>
      <w:r>
        <w:t>- 27 -</w:t>
        <w:br/>
        <w:t>(78) Commitments 1, 3, 4, and 5 apply for a period of eight years from the date of the decision, in accordance with section 9. Commitment 2 (offering standalone versions) applies until the achievement of series maturity or at least eight years, whichever period is longer. The following exceptions apply: If no license agreement or preliminary contract for product evaluation is concluded within eight years, the commitment ends. If a preliminary contract for product evaluation is concluded within eight years, but no license agreement is concluded within ten years, the commitment also ends.</w:t>
      </w:r>
    </w:p>
    <w:p>
      <w:r>
        <w:t>II. Discretion</w:t>
        <w:br/>
        <w:t>(79) The Decision Division has made a comprehensive assessment of the circumstances that speak for and against the termination of the proceedings under § 32b GWB in the exercise of due discretion.</w:t>
      </w:r>
    </w:p>
    <w:p>
      <w:r>
        <w:t>(80) Despite the already advanced administrative proceedings regarding the examination under § 19a para. 2 GWB, the termination was justified by the fact that the commitments appear sufficiently suitable to address the concerns communicated to Google based on the provisional assessment.</w:t>
      </w:r>
    </w:p>
    <w:p>
      <w:r>
        <w:t>(81) Consideration was also given to avoiding a lengthy and complex judicial dispute, which could have adversely affected the immediate enforceability and thus the practical effectiveness of a contested prohibition order. The possibility that could arise in the event of a contested prohibition order to clarify important and fundamentally significant questions regarding the application requirements of § 19a para. 2 GWB in a subsequent judicial proceeding had to take a back seat in light of this.</w:t>
      </w:r>
    </w:p>
    <w:p>
      <w:r>
        <w:t>III. Time Limitation</w:t>
        <w:br/>
        <w:t>(82) The order was to be limited in accordance with § 32b para. 1 sentence 3 GWB to the duration of the commitments. Accordingly, the Federal Cartel Office can, with respect to the scope of application of the commitments after their expiration, again act unrestrictedly based on § 19a para. 2 sentence 1 GWB. The validity of this order does not depend on whether a decision under § 19a para. 1 GWB is effective during its duration, i.e., in particular not on whether the Decision Division has made a final determination at the time of the issuance of this order.</w:t>
      </w:r>
    </w:p>
    <w:p>
      <w:r>
        <w:rPr>
          <w:b/>
        </w:rPr>
        <w:t>[Pages 28–30]</w:t>
      </w:r>
    </w:p>
    <w:p>
      <w:r>
        <w:t>- 28 -</w:t>
        <w:br/>
        <w:t>the status of the addressees of the norm pursuant to § 19a para. 1 GWB is extended during the term of the commitments.</w:t>
      </w:r>
    </w:p>
    <w:p>
      <w:r>
        <w:t>D. Fees</w:t>
        <w:br/>
        <w:t>(83) The fee decision is based on § 62 para. 1 sentence 2 no. 2 GWB. The amount of the fee is determined in accordance with § 62 para. 2 sentence 1 GWB based on the personnel and material effort of the Decision Division and the economic significance of the proceedings. The fee rates may not exceed 25,000 euros in the case of § 32b para. 1 GWB according to § 62 para. 2 sentence 2 no. 2 GWB. If the personnel or material effort of the competition authority is exceptionally high in consideration of the economic value of the fee-liable action in the individual case, the fee may be increased to double the amount according to § 62 para. 2 sentence 3 GWB. […]</w:t>
      </w:r>
    </w:p>
    <w:p>
      <w:r>
        <w:t>(84) The debtors of this fee are, according to § 62 para. 6 sentence 1 no. 2 in conjunction with sentence 3 GWB, the parties 1 and 2 as joint debtors.</w:t>
      </w:r>
    </w:p>
    <w:p>
      <w:r>
        <w:t>(85) The fee is due upon delivery of this decision and must be transferred within one month after delivery to the following account:</w:t>
        <w:br/>
        <w:t>Beneficiary: Federal Treasury Trier</w:t>
        <w:br/>
        <w:t>IBAN: DE81 5900 0000 0059 0010 20</w:t>
        <w:br/>
        <w:t>BIC: MARKDEF 1590</w:t>
        <w:br/>
        <w:t>Credit institution: Deutsche Bundesbank, Branch Saarbrücken</w:t>
      </w:r>
    </w:p>
    <w:p>
      <w:r>
        <w:t>(86) The following reference number must be indicated as the purpose of use:</w:t>
        <w:br/>
        <w:t>[…]</w:t>
      </w:r>
    </w:p>
    <w:p>
      <w:r>
        <w:t>(87) Without the indication of the reference number, the payment cannot be processed.</w:t>
      </w:r>
    </w:p>
    <w:p>
      <w:r>
        <w:t>(88) If the fee is not paid by the end of one month after the day of delivery, a late fee of one percent of the outstanding amount will be charged for each commenced month of delay. When transferring from abroad, bank charges generally apply. In these cases, it must be ensured that the full fee is credited to the account of the Federal Cartel Office.</w:t>
      </w:r>
    </w:p>
    <w:p>
      <w:r>
        <w:t>- 29 -</w:t>
        <w:br/>
        <w:t>(89) The expenses for the necessary publication of this decision in the Federal Gazette (§ 61 para. 3 sentence 1 GWB) will be charged separately (§ 62 para. 1 sentence 3 GWB).</w:t>
      </w:r>
    </w:p>
    <w:p>
      <w:r>
        <w:t>- 30 -</w:t>
        <w:br/>
        <w:t>E. Instruction on Legal Remedies</w:t>
        <w:br/>
        <w:t>An appeal is open against this decision. It must be submitted within a period of one month starting from the delivery of the decision to the Federal Cartel Office, Bonn. However, it is sufficient if it is received within this period by the appellate court, the Federal Court of Justice, Karlsruhe. The appeal must be substantiated. The statement of reasons for the appeal must be submitted to the Federal Cartel Office or the appellate court. The deadline for the statement of reasons for the appeal is two months. It begins with the delivery of the contested decision and may be extended upon request by the chairperson of the appellate court. The statement of reasons for the appeal must contain the declaration of the extent to which the decision is contested and the modification or annulment is requested, and must specify the facts and evidence, including any new ones, on which the appeal is based. The parties must be represented by a lawyer as their authorized representative when filing and substantiating the appeal.</w:t>
        <w:br/>
        <w:t>Dr. Krauß Dr. Locher Dr. Mehler</w:t>
      </w:r>
    </w:p>
    <w:p>
      <w:r>
        <w:rPr>
          <w:b/>
        </w:rPr>
        <w:t>[Pages 31–33]</w:t>
      </w:r>
    </w:p>
    <w:p>
      <w:r>
        <w:t>- 31 -</w:t>
        <w:br/>
        <w:t>Outline</w:t>
        <w:br/>
        <w:t>A. Facts ................................................................................................................ - 3</w:t>
        <w:br/>
        <w:t>-</w:t>
        <w:br/>
        <w:t>I. Parties .............................................................................................................. - 3</w:t>
        <w:br/>
        <w:t>-</w:t>
        <w:br/>
        <w:t>II. GAS .................................................................................................................. - 4</w:t>
        <w:br/>
        <w:t>-</w:t>
        <w:br/>
        <w:t>1. In-Vehicle Infotainment Systems ..................................................................................... - 4</w:t>
        <w:br/>
        <w:t>-</w:t>
        <w:br/>
        <w:t>2. Google's Activities in the Automotive Sector .................................................................... - 5</w:t>
        <w:br/>
        <w:t>-</w:t>
        <w:br/>
        <w:t>3. Google's Agreements with Vehicle Manufacturers for the Use of GAS in IVI Systems .......................................................................................................................... - 7</w:t>
        <w:br/>
        <w:t>-</w:t>
        <w:br/>
        <w:t>III. Procedural History .......................................................................................... - 7</w:t>
        <w:br/>
        <w:t>-</w:t>
        <w:br/>
        <w:t>B. Preliminary Legal Assessment ..................................................................... - 10 -</w:t>
        <w:br/>
        <w:t>I. No Application Barrier Due to the DMA .......................................................... - 11 -</w:t>
        <w:br/>
        <w:t>II. Application of § 19a para. 2 sentence 1 GWB ................................................ - 12 -</w:t>
        <w:br/>
        <w:t>1. Bundling of Services ................................................................................................... - 12 -</w:t>
        <w:br/>
        <w:t>2. Granting Economic Advantages on the Condition of Not Installing Services with Comparable Functions ................................................................................. - 17 -</w:t>
        <w:br/>
        <w:t>3. Default Settings and Prominent Placement of Services .............................................. - 17 -</w:t>
        <w:br/>
        <w:t>4. Competitive Hindrance Due to Lack of Interoperability ............................................. - 19 -</w:t>
      </w:r>
    </w:p>
    <w:p>
      <w:r>
        <w:t>- 32 -</w:t>
        <w:br/>
        <w:t>C. Suspension pursuant to § 32b para. 1 GWB .................................................. - 21 -</w:t>
        <w:br/>
        <w:t>I. Commitments ...................................................................................................... - 22 -</w:t>
        <w:br/>
        <w:t>1. Content of the Commitments ..................................................................................... - 22 -</w:t>
        <w:br/>
        <w:t>2. Evaluation of the Commitments ............................................................................. - 23 -</w:t>
        <w:br/>
        <w:t>II. Discretion .......................................................................................................... - 27 -</w:t>
        <w:br/>
        <w:t>III. Time Limitation .................................................................................................. - 27 -</w:t>
        <w:br/>
        <w:t>D. Fees ................................................................................................................... - 28 -</w:t>
        <w:br/>
        <w:t>E. Legal Remedies Information ......................................................................... - 30 -</w:t>
      </w:r>
    </w:p>
    <w:p>
      <w:r>
        <w:t>Confidential</w:t>
        <w:br/>
        <w:t>B7 - 25/22 - Letter of March 5, 2025 - Annex 1</w:t>
        <w:br/>
        <w:t>Offer for Commitments pursuant to § 32b GWB</w:t>
        <w:br/>
        <w:t>Google offers to enter into the following commitments in order to find an amicable solution in the proceedings B7-25/22 and to address the preliminary concerns of the Federal Cartel Office pursuant to § 19a para. 2 sentence 1 nos. 1, 2, 3, and 5 GWB regarding Google Automotive Services.</w:t>
        <w:br/>
        <w:t>Nothing in these commitments is to be construed as indicating that Google shares the preliminary views expressed by the Federal Cartel Office in its hearing letters of June 21, 2023, and October 30, 2024. This particularly applies with regard to the application and scope of § 19a GWB. These commitments do not prejudice Google in the event that the Federal Cartel Office or any other party initiates proceedings or other legal actions against Alphabet Inc. and/or affiliated companies in a matter covered by these commitments.</w:t>
      </w:r>
    </w:p>
    <w:p>
      <w:r>
        <w:rPr>
          <w:b/>
        </w:rPr>
        <w:t>[Pages 34–36]</w:t>
      </w:r>
    </w:p>
    <w:p>
      <w:r>
        <w:t>Confidential</w:t>
        <w:br/>
        <w:t>1</w:t>
        <w:br/>
        <w:t>A. Definitions</w:t>
        <w:br/>
        <w:t>API means Application Programming Interface.</w:t>
        <w:br/>
        <w:t>APK means Android Package.</w:t>
        <w:br/>
        <w:t>Effective Date means the date on which the commitments are declared binding by a final decision of the Bundeskartellamt.</w:t>
        <w:br/>
        <w:t>EAP means Early Access Program. This is a program that allows developers early access to products and thus the opportunity to engage intensively with these products in order to collect feedback from developers before the product is made publicly available.</w:t>
        <w:br/>
        <w:t>Standalone Version means a version of each of the GAS software components (as defined below) that can be licensed individually and without any of the other Standalone Versions of the GAS software components and that provides equivalent functions using the same APK as well as having an integration effort into vehicles that corresponds to that of the respective GAS software components.</w:t>
        <w:br/>
        <w:t>GAS means the product offering Google Automotive Services, which includes Google Maps Built-in, Google Assistant Built-in, and Google Play Built-in (as defined below). This product offering is currently only available for native use within vehicles based on Android Automotive OS for IVI systems. Nothing in these commitments shall be construed as obligating Google to offer this product offering for other operating systems for IVI systems.</w:t>
        <w:br/>
        <w:t>GAS Software Components means the following software components that are part of the GAS offering and that Google has not previously offered individually: Google Assistant Built-in (as defined below), Google Maps Built-in (as defined below), and Google Play Built-in (as defined below).</w:t>
        <w:br/>
        <w:t>GLA means GAS License Agreement.</w:t>
        <w:br/>
        <w:t>GLA 2023 means the GAS License Agreement that Google entered into with Dr. Ing h.c.F. Porsche AG on November 1, 2023.</w:t>
        <w:br/>
        <w:t>1</w:t>
        <w:br/>
        <w:t>Terms in uppercase that are not defined in these commitments refer to the definitions used in the GLA 2023, attached as Annex 1.1.</w:t>
        <w:br/>
        <w:t>2</w:t>
      </w:r>
    </w:p>
    <w:p>
      <w:r>
        <w:t>Confidential</w:t>
        <w:br/>
        <w:t>Google means Alphabet Inc. and all its affiliated companies.</w:t>
        <w:br/>
        <w:t>Google Assistant Built-in means the version of Google's voice assistant software that is integrated into GAS.</w:t>
        <w:br/>
        <w:t>Google Maps Built-in means the version of Google Maps that is integrated into GAS.</w:t>
        <w:br/>
        <w:t>Google Play Built-in means the version of Google's application store software that is integrated into GAS (previously referred to as "Carsky").</w:t>
        <w:br/>
        <w:t>Help Centers means help pages provided by Google for application developers.</w:t>
        <w:br/>
        <w:t>Implementation Period means the periods specified in sections 1.2, 1.3, 1.5, 1.6, 2.3, 2.4, 3.1, 3.2, 5.2, 5.3.</w:t>
        <w:br/>
        <w:t>Integration-ready Version means a version that is suitable for integration by an OEM for development, testing, and initial feedback. The version may not be ready for commercial delivery in vehicles sold to end consumers or otherwise used by them. Depending on feedback from OEMs, further adjustments may be necessary. The expectations for an Integration-ready Version include:</w:t>
        <w:br/>
        <w:t> Google has determined that the standalone offering is sufficiently stable and ready for integration by an OEM. Although changes may still be possible, e.g., at the request of the OEM, Google is confident that the design of the standalone offering is sufficiently stable.</w:t>
        <w:br/>
        <w:t> Sufficient data flows so that an OEM can test an integration. Issues and/or gaps in the data flows may occur (e.g., dummy data that is comparable to a production-ready version is acceptable at this stage, as is limited geographic coverage).</w:t>
        <w:br/>
        <w:t> Preliminary documentation will be accessible to the OEM.</w:t>
        <w:br/>
        <w:t>IVI System means In-Vehicle Infotainment System.</w:t>
        <w:br/>
        <w:t>OEM means vehicle manufacturer of series passenger cars.</w:t>
        <w:br/>
        <w:t>System Image means a binary software snapshot of the IVI system software at a specific point in time. This includes the operating system, pre-installed applications (e.g., OEM applications, third-party applications, Google applications), the system user interface, and the necessary software settings. Each System Image has a unique identifier, typically in the form of (alpha-)numeric codes or strings.</w:t>
        <w:br/>
        <w:t>3</w:t>
      </w:r>
    </w:p>
    <w:p>
      <w:r>
        <w:t>Confidential</w:t>
        <w:br/>
        <w:t>Confidential Information means information disclosed by Google to the Monitoring Trustee that is marked as confidential or is generally classified as confidential information under the given circumstances.</w:t>
        <w:br/>
        <w:t>Pre-contract for Product Evaluation means any agreement between Google and an OEM that sets forth the rights, obligations, and restrictions in the relationship between Google and that OEM prior to the conclusion of a final (e.g., license) agreement.</w:t>
        <w:br/>
        <w:t>Supplier means any contractor (including subcontractors and any entity that controls or is controlled by an OEM) other than Google, that collaborates with an OEM, provided that the OEM has either</w:t>
        <w:br/>
        <w:t>a) entered into a GLA or a license agreement for a Standalone Version and has concluded a written agreement with such aforementioned contractor that</w:t>
        <w:br/>
        <w:t>(i) contains provisions, obligations, restrictions, and conditions that are no less protective of Google than the provisions, obligations, restrictions, and conditions that apply to the OEM under the respective GLA or the license agreement for Standalone Versions; and</w:t>
        <w:br/>
        <w:t>(ii) sublicenses the license granted in the GLA or the license agreement for Standalone Versions exclusively for the benefit of the OEM for internal testing, evaluation, manufacturing, and development purposes (i.e., not for commercial distribution) in relation to the OEM's IVI system; or</w:t>
        <w:br/>
        <w:t>b) has entered into a Pre-contract for Product Evaluation and has concluded a written agreement with such aforementioned contractor that</w:t>
        <w:br/>
        <w:t>(i) contains provisions, obligations, restrictions, and conditions that are no less protective of Google than the provisions, obligations, restrictions, and conditions that apply to the OEM under the respective Pre-contract for Product Evaluation; and</w:t>
        <w:br/>
        <w:t>4</w:t>
      </w:r>
    </w:p>
    <w:p>
      <w:r>
        <w:rPr>
          <w:b/>
        </w:rPr>
        <w:t>[Pages 37–39]</w:t>
      </w:r>
    </w:p>
    <w:p>
      <w:r>
        <w:t>Confidential</w:t>
        <w:br/>
        <w:t>(ii) Access to the respective standalone version or a copy thereof is granted exclusively for the assessment of the integration into the OEM's IVI system.</w:t>
        <w:br/>
        <w:t>5</w:t>
      </w:r>
    </w:p>
    <w:p>
      <w:r>
        <w:t>Confidential</w:t>
        <w:br/>
        <w:t>B. Commitments</w:t>
        <w:br/>
        <w:t>Commitment 1: Interoperability with GAS</w:t>
        <w:br/>
        <w:t>1.1 Google will create and provide the technical prerequisites for the GAS software components to cooperate with voice assistants, mapping services, and app stores from suppliers in IVI systems in an equivalent manner and to an equivalent extent as the GAS software components do among themselves, thereby ensuring that they are fully interoperable with services from suppliers.</w:t>
        <w:br/>
        <w:t>1.2 Google will make the documentation necessary for the implementation of clause 1.1 accessible within four months from the date of entry into force.</w:t>
        <w:br/>
        <w:t>1.3 Google will make the terms of use for the APIs necessary for the implementation of clause 1.1 accessible within four months from the date of entry into force.</w:t>
        <w:br/>
        <w:t>1.4 In the event that Google conducts an EAP for future updates necessary for the implementation of clause 1.1, OEMs and suppliers, in particular providers of automotive mapping and navigation services, providers of automotive voice assistants, and providers of automotive app stores, will be entitled to participate in the EAP. Google will publicly announce the EAP.</w:t>
        <w:br/>
        <w:t>1.5 Google will update its Help Center within five months from the date of entry into force to provide comprehensive guidance for the implementation of services from suppliers for interoperability with Google Maps Built-in, Google Play Built-in, and Google Assistant Built-in in a central Automotive Help Center directory.</w:t>
        <w:br/>
        <w:t>1.6 Google will make the APIs, the terms of use for the APIs, and the documentation necessary for the implementation of clause 1.1 accessible to OEMs and suppliers within six months from the date of entry into force and will support OEMs or suppliers that collaborate directly or indirectly with an OEM regarding the development of the IVI system for that OEM in achieving interoperability according to clause 1.1.</w:t>
        <w:br/>
        <w:t>Commitment 2: Standalone Version of the GAS Software Components</w:t>
        <w:br/>
        <w:t>2.1 Google will offer interested OEMs to license each of the standalone versions individually and not necessarily with one of the other standalone versions. Google will</w:t>
        <w:br/>
        <w:t>6</w:t>
      </w:r>
    </w:p>
    <w:p>
      <w:r>
        <w:t>Confidential</w:t>
        <w:br/>
        <w:t>a) provide any support that is reasonably necessary for the integration of a standalone version into the OEM's IVI system to OEMs to whom a standalone version is licensed or who have concluded a preliminary contract for product evaluation, as well as</w:t>
        <w:br/>
        <w:t>b) to suppliers who collaborate directly or indirectly with an OEM to whom a standalone version is licensed or who has concluded a preliminary contract for product evaluation,</w:t>
        <w:br/>
        <w:t>grant such support to the same extent as Google does for GAS.</w:t>
        <w:br/>
        <w:t>2.2 The standalone versions must be interoperable with each other and with the services of suppliers in an equivalent manner and to an equivalent extent as the GAS software components are interoperable among themselves.</w:t>
        <w:br/>
        <w:t>2.3 Google will provide corresponding standalone versions of the GAS software components as prototype versions that run on emulators within seven months from the date of entry into force.</w:t>
        <w:br/>
        <w:t>2.4 Google will provide corresponding standalone versions of the GAS software components as integration-ready versions within nine months from the date of entry into force.</w:t>
        <w:br/>
        <w:t>2.5 Clauses 1.2, 1.3, 1.4, 1.5, and 1.6 apply mutatis mutandis to Commitment 2.2.</w:t>
        <w:br/>
        <w:t>Commitment 3: Termination Rights</w:t>
        <w:br/>
        <w:t>3.1 Google will grant all contracting partners with whom a GLA has been concluded and who use IVI systems with GAS in series passenger cars falling under Section 6 the right to terminate the respective GLA in full or in part concerning specific vehicle models within a period that does not end earlier than three months after the fulfillment of Commitment 2.4 by Google.</w:t>
        <w:br/>
        <w:t>3.2 Google will transmit copies of the notifications sent to OEMs in accordance with Commitment 3.1 to the Federal Cartel Office within two months from the date of entry into force.</w:t>
        <w:br/>
        <w:t>Commitment 4: No Granting of Economic Benefits</w:t>
        <w:br/>
        <w:t>4. Google will not promise or grant any economic benefits (such as discounts or shares in advertising revenues) on the condition that, in addition to GAS-</w:t>
      </w:r>
    </w:p>
    <w:p>
      <w:r>
        <w:rPr>
          <w:b/>
        </w:rPr>
        <w:t>[Pages 40–42]</w:t>
      </w:r>
    </w:p>
    <w:p>
      <w:r>
        <w:t>Confidential</w:t>
        <w:br/>
        <w:t>Software components and/or standalone versions will not be installed alongside services with comparable functions in IVI systems.</w:t>
      </w:r>
    </w:p>
    <w:p>
      <w:r>
        <w:t>Commitment 5: Placement and Default Settings</w:t>
        <w:br/>
        <w:t>5.1 Google will not require contractual partners with whom GLAs or license agreements for standalone versions of GAS software components are concluded pursuant to section 2.1 to designate the GAS software components or the standalone versions pursuant to section 2.1 as standard applications or to comply with requirements for a preferred placement of icons and texts for visualizing GAS software components or the standalone versions pursuant to section 2.1. In particular, Google will not require that the Default Application Screen be placed no more than one click away from the main screen and/or that, during the initial installation of GAS or standalone versions, the GAS software components or the respective standalone versions be placed on the application overview and/or ensure that all other Google applications are placed at the same level as the alternatives from suppliers and/or that GAS software components or standalone versions be placed as standard applications.</w:t>
      </w:r>
    </w:p>
    <w:p>
      <w:r>
        <w:t>5.2 Google will inform all contractual partners with whom GLAs have been concluded in writing within one month after the date of entry into force that the obligations to designate GAS software components as standard applications or to make a preferred placement of icons and texts for visualizing GAS software components in IVI systems (see section 4.7 (b) (c) (d) and (h) GLA 2023) are no longer valid from Google's perspective and will not be enforced.</w:t>
      </w:r>
    </w:p>
    <w:p>
      <w:r>
        <w:t>5.3 Google will transmit copies of the notifications sent to OEMs in accordance with Commitment 5.2 to the Bundeskartellamt within two months from the date of entry into force.</w:t>
      </w:r>
    </w:p>
    <w:p>
      <w:r>
        <w:t>Geographical Scope</w:t>
        <w:br/>
        <w:t>6. The commitments pursuant to sections 1 to 5 apply to IVI systems that are also used or are to be used in series passenger cars that are registered or can be registered in Germany. The commitments also apply to such IVI systems that are essentially identical to those mentioned in sentence 1, regardless of where the IVI system is delivered. IVI systems are essentially identical if they provide a largely uniform user experience, do not require additional development and integration effort, and are based on essentially similar hardware and software. It is clarified that minor variations of the hardware module to adapt to regional differences and minor variations of the software module to adapt to regional differences regarding language, map data, and content, as well as different middleware that represents the software under the IVI system, do not result in an IVI system not being essentially identical to the aforementioned IVI system. They are considered the same IVI systems if the system image is identical.</w:t>
      </w:r>
    </w:p>
    <w:p>
      <w:r>
        <w:t>Extension of Implementation Deadlines</w:t>
        <w:br/>
        <w:t>7. Upon justified request from Google, the Bundeskartellamt may extend the implementation deadlines in sections 1 to 5.</w:t>
      </w:r>
    </w:p>
    <w:p>
      <w:r>
        <w:t>Prohibition of Circumvention</w:t>
        <w:br/>
        <w:t>8.1 Google will not circumvent or attempt to circumvent these commitments, either directly or indirectly, through actions or omissions.</w:t>
      </w:r>
    </w:p>
    <w:p>
      <w:r>
        <w:t>8.2 In particular, Google commits not to create incentives for the acquisition of bundled GAS software components or the acquisition of any of the standalone versions of the GAS software components bundled with one or more standalone versions of the GAS software components through pricing (such as discounts), the promise or granting of other economic benefits (such as participation in advertising revenues). Furthermore, Google will conclude contracts for the standalone versions of the GAS software components on a non-discriminatory basis with fair and reasonable contractual terms, and also individually. The same applies (where applicable) to any changes in the contractual terms. Google will not unreasonably delay the development of the series versions of the respective standalone version.</w:t>
      </w:r>
    </w:p>
    <w:p>
      <w:r>
        <w:t>8.3 Updates, improvements, settings, or other regular product changes of GAS or the standalone versions do not constitute a circumvention of the commitments, provided that they are carried out simultaneously and equivalently using the same APK.</w:t>
      </w:r>
    </w:p>
    <w:p>
      <w:r>
        <w:t>8.4 If Google offers GAS for operating systems other than Android Automotive OS, these obligations apply mutatis mutandis.</w:t>
      </w:r>
    </w:p>
    <w:p>
      <w:r>
        <w:t>8.5 If Google offers GAS directly to companies other than OEMs, the obligations 2.1 to 2.5 apply mutatis mutandis.</w:t>
      </w:r>
    </w:p>
    <w:p>
      <w:r>
        <w:t>Duration</w:t>
        <w:br/>
        <w:t>9.1 The commitments 1, 3, 4, and 5 remain in force for eight years from the date of entry into force.</w:t>
      </w:r>
    </w:p>
    <w:p>
      <w:r>
        <w:t>9.2 For each standalone version, Commitment 2 remains in force until a series version of this standalone version exists, or alternatively for at least eight years from the date of entry into force, whichever period is longer. Google will also provide the necessary support (including updates) for IVI systems on the market in which GAS software components or standalone versions are pre-installed during the support period specified in the license agreement, which in the case of a licensing of GAS to an OEM is not shorter than the support period of its GLA.</w:t>
      </w:r>
    </w:p>
    <w:p>
      <w:r>
        <w:t>9.3 Notwithstanding section 9.2, the following duration applies to Commitment 2:</w:t>
        <w:br/>
        <w:t>- If no license agreement or preliminary contract for product evaluation for the respective standalone version has been concluded within eight years from the date of entry into force, the validity period of Commitment 2 ends.</w:t>
        <w:br/>
        <w:t>- If a preliminary contract for product evaluation has been concluded within eight years from the date of entry into force, but no license agreement has been concluded within ten years from the date of entry into force, the validity period of Commitment 2 ends.</w:t>
      </w:r>
    </w:p>
    <w:p>
      <w:r>
        <w:t>9.4 Google may propose to the Bundeskartellamt to revoke or amend the order with which these commitments were declared binding in whole or in part or to release Google from individual commitments if the circumstances that formed the basis for these commitments have changed significantly. Google is aware that section 9.4 does not establish a right to such a decision.</w:t>
      </w:r>
    </w:p>
    <w:p>
      <w:r>
        <w:t>Monitoring Trustee</w:t>
        <w:br/>
        <w:t>10. Google will appoint a Monitoring Trustee in accordance with the provisions set out in Annex 1.2, who will oversee Google's implementation of the commitments.</w:t>
      </w:r>
    </w:p>
    <w:p>
      <w:r>
        <w:rPr>
          <w:b/>
        </w:rPr>
        <w:t>[Pages 43–45]</w:t>
      </w:r>
    </w:p>
    <w:p>
      <w:r>
        <w:t xml:space="preserve">Confidential  </w:t>
        <w:br/>
        <w:t xml:space="preserve">Miscellaneous  </w:t>
        <w:br/>
        <w:t xml:space="preserve">11. The obligations do not prevent the Bundeskartellamt from conducting proceedings regarding offers that do not consist of GAS software components or standalone versions.  </w:t>
        <w:br/>
        <w:t>11</w:t>
      </w:r>
    </w:p>
    <w:p>
      <w:r>
        <w:t xml:space="preserve">Confidential  </w:t>
        <w:br/>
        <w:t xml:space="preserve">B7 - 25/22 - Letter of March 5, 2025 - Annex 1.1  </w:t>
        <w:br/>
        <w:t xml:space="preserve">GLA 2023 Definitions  </w:t>
        <w:br/>
        <w:t xml:space="preserve">Core Applications refers collectively to Google Play Built-in, Google Maps Built-in, and Google Assistant Built-in.  </w:t>
        <w:br/>
        <w:t xml:space="preserve">Default Application Screen refers to the standard location in the user interface of the GAS infotainment platform prior to any changes made by the end user, which lists and displays the applications available on the GAS infotainment platform. If additional applications can be displayed by scrolling, opening folders, or otherwise navigating a hierarchy, Default Application Screen describes the highest hierarchy level that an end user must initially access to see the list of available applications.  </w:t>
        <w:br/>
        <w:t xml:space="preserve">Google Applications refers to the machine-readable binary code version of the Google applications, including the Core Applications and associated applications listed in the Google Product Geo Availability Chart, and any modifications or updates to these applications. Google Applications do not include the Android Automotive OS applications.  </w:t>
        <w:br/>
        <w:t xml:space="preserve">Activation Word refers to a voice-activated trigger that enables voice commands on the GAS infotainment platform, which can be provided either by Google (a "Google Activation Word") or a third party.  </w:t>
        <w:br/>
        <w:t>12</w:t>
      </w:r>
    </w:p>
    <w:p>
      <w:r>
        <w:t xml:space="preserve">Confidential  </w:t>
        <w:br/>
        <w:t xml:space="preserve">B7 - 25/22 - Letter of March 5, 2025 - Annex 1.2  </w:t>
        <w:br/>
        <w:t xml:space="preserve">Monitoring Mechanism  </w:t>
        <w:br/>
        <w:t xml:space="preserve">1. Monitoring Trustee  </w:t>
        <w:br/>
        <w:t xml:space="preserve">1.1. Google will appoint a Monitoring Trustee at its own expense immediately after the date of entry into force, who will monitor Google's compliance with the commitments for a period that does not end earlier than six months after the submission of the reports pursuant to section 3.1(b), 3.1(c) of this Annex 1.2 by the Monitoring Trustee. An exception applies only if the Bundeskartellamt informs Google within six months of receiving a report pursuant to section 3.1(b) or 3.1(c) of this Annex 1.2 that Google has not complied with one of the commitments or has not fully complied with it. In this case, the period mentioned in sentence 1 does not end earlier than six months after the further report of the Monitoring Trustee on the implementation of the commitments pursuant to section 3.1(b) or 3.1(c) of this Annex 1.2, unless the period mentioned in sentence 1 ends later. In this case, the later ending period applies. An extension of the period mentioned in sentence 2 is possible multiple times.  </w:t>
        <w:br/>
        <w:t xml:space="preserve">1.2. Each time an OEM or supplier submits a written complaint to the Bundeskartellamt after the expiration of the period mentioned in section 1.1, presenting the relevant facts and attaching any relevant evidence and documentation, and stating that Google has not implemented commitments 1 to 5 in accordance with the provisions set forth therein, Google shall, at the request of the Bundeskartellamt, reappoint the former Monitoring Trustee for a period that is appropriate to prepare an expert opinion on this matter, but not longer than six months.  </w:t>
        <w:br/>
        <w:t xml:space="preserve">1.3. The Monitoring Trustee must be independent of Google and all competitors or customers of Google in the markets affected by this proceeding. The Monitoring Trustee will be compensated by Google in a manner that does not impair his independence or the effective exercise of his mandate.  </w:t>
        <w:br/>
        <w:t xml:space="preserve">1.4. The Monitoring Trustee should possess the necessary qualifications, experience, and competencies to carry out his mandate either personally or through the technical expert appointed pursuant to section 1.6.  </w:t>
        <w:br/>
        <w:t>13</w:t>
      </w:r>
    </w:p>
    <w:p>
      <w:r>
        <w:rPr>
          <w:b/>
        </w:rPr>
        <w:t>[Pages 46–48]</w:t>
      </w:r>
    </w:p>
    <w:p>
      <w:r>
        <w:t>Confidential</w:t>
        <w:br/>
        <w:t>1.5. The Monitoring Trustee must not be in a conflict of interest during his mandate nor be exposed to such a conflict. In particular, the Monitoring Trustee (including all of his employees) must not provide services for Google or any of Google's competitors in the markets affected by this proceeding during the mandate of the Monitoring Trustee or within a period of one year after the termination of the mandate of the Monitoring Trustee, nor enter into an employment relationship with Google or any of Google's competitors in the markets affected by this proceeding.</w:t>
      </w:r>
    </w:p>
    <w:p>
      <w:r>
        <w:t>1.6. Subject to the prior approval of Google and the Federal Cartel Office (which must not be unreasonably withheld or delayed), the Monitoring Trustee shall appoint at the expense of Google a technical expert and additional advisors if the Monitoring Trustee deems the appointment of such advisors necessary or appropriate to fulfill his tasks and duties under the mandate, provided that the fees and other costs incurred are reasonable. The technical expert or advisor must not be in a conflict of interest nor be exposed to such a conflict. In particular, the technical expert or advisor (including all of his employees) must not provide services for Google or any of Google's competitors in the markets affected by this proceeding during the mandate of the Monitoring Trustee or within a period of one year after the termination of the mandate of the Monitoring Trustee, nor enter into an employment relationship with Google or any of Google's competitors in the markets affected by this proceeding. Should Google reject the technical expert and/or advisor proposed by the Monitoring Trustee, Google may propose an alternative expert and/or advisor within two weeks after the rejection of the technical expert and/or advisor proposed by the Monitoring Trustee. The Federal Cartel Office may reject the alternative proposal from Google and suggest the appointment of an expert and/or advisor proposed by the Monitoring Trustee or another technical expert and/or advisor. The Federal Cartel Office may appoint this technical expert and/or advisor without the consent of Google if Google has previously been given the opportunity to comment on this proposal. Only the Monitoring Trustee is authorized to issue instructions to the technical expert and/or the advisors.</w:t>
      </w:r>
    </w:p>
    <w:p>
      <w:r>
        <w:t>1.7. The Monitoring Trustee undertakes the tasks and duties assigned to him to ensure compliance with the commitments. The Monitoring Trustee is bound by instructions from the Federal Cartel Office, but not from Google.</w:t>
      </w:r>
    </w:p>
    <w:p>
      <w:r>
        <w:t>Confidential</w:t>
        <w:br/>
        <w:t>1.8. OEMs and suppliers who suspect a non-compliance with the commitments may submit a written complaint to the Monitoring Trustee, outlining the relevant facts and, where available, relevant evidence and documentation. Within one month after the selection according to section 2, Google, together with the Monitoring Trustee, will provide the postal and digital contact details for such a complaint in a reasonable and sufficiently accessible and permanent manner.</w:t>
      </w:r>
    </w:p>
    <w:p>
      <w:r>
        <w:t>2. Selection of the Monitoring Trustee</w:t>
        <w:br/>
        <w:t>2.1. If the Federal Cartel Office has not already approved a Monitoring Trustee proposed by Google, Google shall submit a list of at least two persons as a proposal for the appointment of the Monitoring Trustee for approval to the Federal Cartel Office within one month after the date of entry into force. The proposal must contain sufficient information for the Federal Cartel Office to verify whether the proposed Monitoring Trustees meet the requirements set out in section 1.4, and it must include the complete mandate agreement containing all provisions necessary for the Monitoring Trustee to fulfill his function according to section 3.1, as well as a draft plan describing how the Monitoring Trustee will fulfill the tasks assigned to him.</w:t>
      </w:r>
    </w:p>
    <w:p>
      <w:r>
        <w:t>2.2. It is at the discretion of the Federal Cartel Office to approve or reject the proposed Monitoring Trustees and to approve or reject the proposed mandate agreement, subject to any changes it deems necessary for the Monitoring Trustee to fulfill his tasks.</w:t>
      </w:r>
    </w:p>
    <w:p>
      <w:r>
        <w:t>2.3. The Federal Cartel Office shall state the reasons for the rejection of a proposed Monitoring Trustee and the reasons for the rejection of a proposed mandate agreement. If only one person is approved, Google shall appoint the respective person as the Monitoring Trustee within one week according to the mandate agreement approved by the Federal Cartel Office or arrange for the appointment.</w:t>
      </w:r>
    </w:p>
    <w:p>
      <w:r>
        <w:t>2.4. If more than one person is approved, Google may freely choose the Monitoring Trustee from among the approved persons. The appointment of the Monitoring Trustee shall take place within three weeks after the approval by the Federal Cartel Office and in accordance with the mandate agreement approved by the Federal Cartel Office.</w:t>
      </w:r>
    </w:p>
    <w:p>
      <w:r>
        <w:t>2.5. If all proposed Monitoring Trustees are rejected, Google shall submit the names of at least two additional persons in accordance with the requirements and procedure in sections 1.4, 2.1 - 2.3 within one month after the notification of the rejection(s).</w:t>
      </w:r>
    </w:p>
    <w:p>
      <w:r>
        <w:t>2.6. If all further proposed Monitoring Trustees are rejected by the Federal Cartel Office, the Federal Cartel Office shall submit a proposal for a Monitoring Trustee in accordance with the requirements in section 1.4, which Google shall appoint within one month after the proposal according to a mandate agreement approved by the Federal Cartel Office or arrange for the appointment.</w:t>
      </w:r>
    </w:p>
    <w:p>
      <w:r>
        <w:t>2.7. If the Monitoring Trustee does not perform his functions in accordance with these obligations or cannot do so for a significant reason, including the emergence of a situation in which the Monitoring Trustee is exposed to a conflict of interest,</w:t>
        <w:br/>
        <w:t>a) the Federal Cartel Office may, after hearing the Monitoring Trustee, require Google to replace the Monitoring Trustee; or</w:t>
        <w:br/>
        <w:t>b) Google may replace the Monitoring Trustee with the prior consent of the Federal Cartel Office.</w:t>
      </w:r>
    </w:p>
    <w:p>
      <w:r>
        <w:t>2.8. If the Monitoring Trustee has been removed, he may be required to continue fulfilling his function until a new Monitoring Trustee, to whom the former Monitoring Trustee has handed over all relevant information and documents, has been appointed. The new Monitoring Trustee will be appointed according to the procedure described in sections 2.1-2.6.</w:t>
      </w:r>
    </w:p>
    <w:p>
      <w:r>
        <w:t>3. Tasks and Duties of the Monitoring Trustee, the Technical Experts, and the Advisors</w:t>
        <w:br/>
        <w:t>3.1. The Monitoring Trustee will:</w:t>
        <w:br/>
        <w:t>a) monitor the implementation of the commitments by Google;</w:t>
        <w:br/>
        <w:t>b) submit a report to the Federal Cartel Office on compliance with Commitment 1 by Google within nine months after the date of entry into force and simultaneously provide Google with a non-confidential copy so that the Federal Cartel Office can assess whether Google is complying with Commitment 1. If the Federal Cartel Office informs Google that the obligations are not or not sufficiently implemented by Google, the Monitoring Trustee will prepare another report within three months after Google has communicated that full implementation has occurred. This</w:t>
      </w:r>
    </w:p>
    <w:p>
      <w:r>
        <w:rPr>
          <w:b/>
        </w:rPr>
        <w:t>[Pages 49–51]</w:t>
      </w:r>
    </w:p>
    <w:p>
      <w:r>
        <w:t>Confidential</w:t>
        <w:br/>
        <w:t>Reports should also include an overview of and copies of the complaints received under the complaint mechanism mentioned in section 1.8;</w:t>
        <w:br/>
        <w:t>c) submit a written report to the Bundeskartellamt within twelve months from the date of entry into force regarding compliance with commitment 2 and milestones 1 and 2 in the development and provision of standalone versions specified in Annex 1.3 by Google, and simultaneously provide Google with a non-confidential copy. Section 3.1(b) sentence 2 of this Annex 1.2 applies accordingly. This report should also include an overview of and copies of the complaints received under the complaint mechanism mentioned in section 1.8;</w:t>
        <w:br/>
        <w:t>d) submit a report to the Bundeskartellamt within one week after a complaint under section 1.2 of this Annex 1.2 regarding the necessity of reappointing the Monitoring Trustee and simultaneously provide Google with a non-confidential copy.</w:t>
        <w:br/>
        <w:t>e) propose to Google, after consultation with the Bundeskartellamt, the measures that the Monitoring Trustee deems necessary to ensure compliance with the commitments by Google;</w:t>
        <w:br/>
        <w:t>f) report to the Bundeskartellamt in writing without delay and simultaneously provide Google with a non-confidential copy if the Monitoring Trustee concludes for plausible reasons that Google is not complying with the commitments; and</w:t>
        <w:br/>
        <w:t>g) answer clarifying questions from the Bundeskartellamt regarding a report submitted to the Bundeskartellamt in accordance with section 3.1.</w:t>
        <w:br/>
        <w:t>3.2. The Monitoring Trustee and all technical experts or advisors appointed in accordance with section 1.6 may not:</w:t>
        <w:br/>
        <w:t>a) participate in decisions or decision-making processes regarding technical, product-related, or other changes related to Google's business or negotiations with customers;</w:t>
        <w:br/>
        <w:t>b) have decision-making or investigative powers as available to the Bundeskartellamt under §§ 32 et seq., §§ 54 et seq. GWB;</w:t>
        <w:br/>
        <w:t>c) perform tasks that are not covered by the mandate agreement; or</w:t>
        <w:br/>
        <w:t>d) disclose confidential information from Google to any person, company, or other entity other than the Bundeskartellamt. All confidential information that the Monitoring Trustee becomes aware of in fulfilling the tasks and duties set forth in these commitments must be treated as strictly confidential and may only be used for the purpose of fulfilling his tasks and duties as specified in the commitments. The Monitoring Trustee shall ensure that appropriate safeguards are implemented and maintained in the collection, receipt, tracking of dissemination, monitoring of use, protection against disclosure, and secure disposal of confidential information. These safeguards are to be reviewed by Google within a period set by the Monitoring Trustee. Within this period, Google may make suggestions for improving the safeguards, which the Monitoring Trustee will consider to ensure adequate protection of the confidential information. These safeguards must be effective in protecting the confidential information but must not be structured in such a way as to prevent the Monitoring Trustee from effectively fulfilling his function as specified in these commitments. In the event of a disagreement, the Bundeskartellamt shall decide on the necessary safeguards. The Monitoring Trustee shall not make public statements relating to the fulfillment of his tasks in connection with these commitments or to the confidential information he has obtained in the course of fulfilling his tasks in connection with these commitments. The Monitoring Trustee shall sign a confidentiality agreement addressed to the Bundeskartellamt, in which he guarantees that he is aware of and will comply with his tasks and duties as set forth in these commitments. The Monitoring Trustee is obliged to comply with the confidentiality obligations imposed by §§ 56 para. 4, 70 para. 2 GWB regarding all information he has obtained in the fulfillment of his tasks and duties in connection with these commitments or from the Bundeskartellamt, even after the expiration of his mandate. After the expiration of the Monitoring Trustee's mandate and provided that there are no outstanding questions regarding Google's compliance with the commitments, all confidential information that the Monitoring Trustee (or any of his staff) or a technical expert or other advisor appointed by the Monitoring Trustee has shall be destroyed by the Monitoring Trustee or the technical expert or other advisor appointed by the Monitoring Trustee, and this shall be confirmed to Google in writing within two weeks.</w:t>
        <w:br/>
        <w:t>4. Tasks and Duties of Google</w:t>
        <w:br/>
        <w:t>4.1. Google shall provide the Monitoring Trustee with all cooperation, support, and information necessary for the fulfillment of his duties under section 3.1, and shall also ensure this with respect to its employees. Based on a procedure agreed upon between Google and the Monitoring Trustee prior to the approval of the Monitoring Trustee by the Bundeskartellamt to avoid disproportionate business disruptions, the Monitoring Trustee shall only have access to information from Google to the extent necessary for the fulfillment of his duties under section 3.1. In the event of disputes, the Bundeskartellamt shall make a decision on the procedure within two weeks.</w:t>
        <w:br/>
        <w:t>4.2. Google agrees that the Bundeskartellamt may disclose confidential information from Google to the Monitoring Trustee, provided that such disclosure of information is necessary to monitor compliance with Google's obligations under these commitments.</w:t>
      </w:r>
    </w:p>
    <w:p>
      <w:r>
        <w:rPr>
          <w:b/>
        </w:rPr>
        <w:t>[Pages 52–53]</w:t>
      </w:r>
    </w:p>
    <w:p>
      <w:r>
        <w:t xml:space="preserve">Confidential  </w:t>
        <w:br/>
        <w:t xml:space="preserve">B7 - 25/22 - Letter dated March 5, 2025 - Annex 1.3  </w:t>
        <w:br/>
        <w:t xml:space="preserve">Milestones for the Development and Provision of Standalone Versions  </w:t>
        <w:br/>
        <w:t xml:space="preserve">Milestone 1: Prototype Version  </w:t>
        <w:br/>
        <w:t xml:space="preserve">Due Date: Seven months after the date of entry into force.  </w:t>
        <w:br/>
        <w:t xml:space="preserve">Prototypes of the Standalone Versions can be evaluated by OEMs using reference emulators to provide early feedback. The expectations include:  </w:t>
        <w:br/>
        <w:t xml:space="preserve">- Google provides APKs of the Standalone Versions that can be run on reference emulators with limited documentation.  </w:t>
        <w:br/>
        <w:t>- Google provides reference emulators with integrated APKs of the Standalone Versions.</w:t>
      </w:r>
    </w:p>
    <w:p>
      <w:r>
        <w:t xml:space="preserve">Milestone 2: Integration-Ready Version  </w:t>
        <w:br/>
        <w:t xml:space="preserve">Due Date: Nine months after the date of entry into force.  </w:t>
        <w:br/>
        <w:t xml:space="preserve">The Standalone Versions are ready for OEMs to begin integration into the vehicle for development, testing, and feedback. The Standalone Versions must not be used for integration into vehicles that are sold to end customers or otherwise made available for use by end customers. Significant quality issues may still arise. The expectations include:  </w:t>
        <w:br/>
        <w:t xml:space="preserve">- Google has determined that the APKs of the Standalone Versions are sufficiently stable and ready for integration by an OEM for testing purposes. Although changes to the APKs of the Standalone Versions may still occur, e.g., at the request of OEMs, Google is confident that the APKs of the Standalone Versions are sufficiently stable for testing purposes.  </w:t>
        <w:br/>
        <w:t xml:space="preserve">- Preliminary documentation will be provided to OEMs to enable them to conduct integration and testing.  </w:t>
        <w:br/>
        <w:t>- Sufficient data will flow so that an OEM can test an integration. Issues and/or gaps in the data flows may occur (e.g., dummy data that resembles that of a production-ready version is acceptable at this stage, as is limited geographical coverage).</w:t>
      </w:r>
    </w:p>
    <w:p>
      <w:r>
        <w:t xml:space="preserve">Milestone 3: Production Version  </w:t>
        <w:br/>
        <w:t xml:space="preserve">A Standalone Version has been integrated into a production passenger car offered to the public, with the exact timing depending on how the respective OEM sets the vehicle's production schedule, and the OEM may adjust this production schedule at its discretion.  </w:t>
        <w:b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