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https://www.bundeskartellamt.de/SharedDocs/Entscheidung/DE/Entscheidungen/Fusionskontrolle/2002/B8-109-01.pdf;jsessionid=CDB073C6AA80E9864069DD0D89DF0303.2_cid378?__blob=publicationFile&amp;v=3</w:t>
      </w:r>
    </w:p>
    <w:p>
      <w:r>
        <w:t>Pages translated : 52</w:t>
      </w:r>
    </w:p>
    <w:p/>
    <w:p>
      <w:r>
        <w:rPr>
          <w:b/>
        </w:rPr>
        <w:t>[Pages 1–3]</w:t>
      </w:r>
    </w:p>
    <w:p>
      <w:r>
        <w:t xml:space="preserve">Bundeskartellamt  </w:t>
        <w:br/>
        <w:t xml:space="preserve">8th Decision Division  </w:t>
        <w:br/>
        <w:t xml:space="preserve">B 8 – 40000 – U – 109/01  </w:t>
        <w:br/>
        <w:t xml:space="preserve">Decision  </w:t>
        <w:br/>
        <w:t xml:space="preserve">In the administrative proceedings  </w:t>
        <w:br/>
        <w:t xml:space="preserve">1. E.ON AG, Düsseldorf  </w:t>
        <w:br/>
        <w:t xml:space="preserve">Authorized representatives for 1.:  </w:t>
        <w:br/>
        <w:t xml:space="preserve">Attorneys Freshfields Bruckhaus Deringer  </w:t>
        <w:br/>
        <w:t xml:space="preserve">Freiligrathstr. 1  </w:t>
        <w:br/>
        <w:t xml:space="preserve">40479 Düsseldorf  </w:t>
        <w:br/>
        <w:t xml:space="preserve">2. BP p.l.c., London  </w:t>
        <w:br/>
        <w:t xml:space="preserve">3. Deutsche BP AG, Hamburg  </w:t>
        <w:br/>
        <w:t xml:space="preserve">4. Gelsenberg AG, Hamburg  </w:t>
        <w:br/>
        <w:t xml:space="preserve">Authorized representatives for 2.-4.:  </w:t>
        <w:br/>
        <w:t xml:space="preserve">Attorneys Linklaters Oppenhoff &amp; Rädler  </w:t>
        <w:br/>
        <w:t xml:space="preserve">Hohenstaufenring 62  </w:t>
        <w:br/>
        <w:t xml:space="preserve">50674 Cologne  </w:t>
        <w:br/>
        <w:t xml:space="preserve">5. Ruhrgas AG, Essen  </w:t>
        <w:br/>
        <w:t xml:space="preserve">Authorized representatives for 5.:  </w:t>
        <w:br/>
        <w:t xml:space="preserve">Attorneys Lovells Boesebeck Droste  </w:t>
        <w:br/>
        <w:t xml:space="preserve">Kennedydamm 17  </w:t>
        <w:br/>
        <w:t xml:space="preserve">40476 Düsseldorf  </w:t>
        <w:br/>
        <w:t xml:space="preserve">- Participants -  </w:t>
        <w:br/>
        <w:t xml:space="preserve">6. ENRON Energie GmbH, Frankfurt a.M.  </w:t>
        <w:br/>
        <w:t xml:space="preserve">Participants for 6.:  </w:t>
        <w:br/>
        <w:t xml:space="preserve">Attorneys Clifford Chance Pünder  </w:t>
        <w:br/>
        <w:t xml:space="preserve">Cecilienallee 6  </w:t>
        <w:br/>
        <w:t>40474 Düsseldorf</w:t>
      </w:r>
    </w:p>
    <w:p>
      <w:r>
        <w:t xml:space="preserve">- 2 -  </w:t>
        <w:br/>
        <w:t xml:space="preserve">7. Concord Power  </w:t>
        <w:br/>
        <w:t xml:space="preserve">Management Company mbH  </w:t>
        <w:br/>
        <w:t xml:space="preserve">Elbberg 1  </w:t>
        <w:br/>
        <w:t xml:space="preserve">22767 Hamburg  </w:t>
        <w:br/>
        <w:t xml:space="preserve">8. Bewag Aktiengesellschaft  </w:t>
        <w:br/>
        <w:t xml:space="preserve">Puschkinallee 52  </w:t>
        <w:br/>
        <w:t xml:space="preserve">12435 Berlin  </w:t>
        <w:br/>
        <w:t xml:space="preserve">9. Aquila Energy GmbH, Essen  </w:t>
        <w:br/>
        <w:t xml:space="preserve">Authorized representatives for 9.:  </w:t>
        <w:br/>
        <w:t xml:space="preserve">Attorneys Hogan &amp; Hartson Raue L.L.P.  </w:t>
        <w:br/>
        <w:t xml:space="preserve">Potsdamer Platz 1  </w:t>
        <w:br/>
        <w:t xml:space="preserve">10785 Berlin  </w:t>
        <w:br/>
        <w:t xml:space="preserve">10. Wingas GmbH, Kassel  </w:t>
        <w:br/>
        <w:t xml:space="preserve">Friedrich-Ebert-Str. 160  </w:t>
        <w:br/>
        <w:t xml:space="preserve">34119 Kassel  </w:t>
        <w:br/>
        <w:t xml:space="preserve">11. nat Gas AG, Berlin  </w:t>
        <w:br/>
        <w:t xml:space="preserve">Authorized representatives for 11.:  </w:t>
        <w:br/>
        <w:t xml:space="preserve">Attorneys Heuking Kühn Lüer Wojtek  </w:t>
        <w:br/>
        <w:t xml:space="preserve">Cecilienallee 5  </w:t>
        <w:br/>
        <w:t xml:space="preserve">40474 Düsseldorf  </w:t>
        <w:br/>
        <w:t xml:space="preserve">12. RWE AG, Essen  </w:t>
        <w:br/>
        <w:t xml:space="preserve">Authorized representatives for 12.:  </w:t>
        <w:br/>
        <w:t xml:space="preserve">Attorneys Hengeler Mueller  </w:t>
        <w:br/>
        <w:t xml:space="preserve">Trinkausstr. 7  </w:t>
        <w:br/>
        <w:t xml:space="preserve">40213 Düsseldorf  </w:t>
        <w:br/>
        <w:t xml:space="preserve">13. Energie Baden-Württemberg AG, Karlsruhe  </w:t>
        <w:br/>
        <w:t xml:space="preserve">Authorized representatives for 13.:  </w:t>
        <w:br/>
        <w:t xml:space="preserve">Attorneys Oppenländer  </w:t>
        <w:br/>
        <w:t xml:space="preserve">Altenbergstr. 3  </w:t>
        <w:br/>
        <w:t>70180 Stuttgart</w:t>
      </w:r>
    </w:p>
    <w:p>
      <w:r>
        <w:t xml:space="preserve">- 3 -  </w:t>
        <w:br/>
        <w:t xml:space="preserve">14. Gaz de France Deutschland GmbH, Berlin  </w:t>
        <w:br/>
        <w:t xml:space="preserve">Authorized representatives for 14.:  </w:t>
        <w:br/>
        <w:t xml:space="preserve">Attorneys White &amp; Case, Feddersen  </w:t>
        <w:br/>
        <w:t xml:space="preserve">Jungfernstieg 5  </w:t>
        <w:br/>
        <w:t xml:space="preserve">20354 Hamburg  </w:t>
        <w:br/>
        <w:t xml:space="preserve">15. Trianel European Energy Trading GmbH, Aachen  </w:t>
        <w:br/>
        <w:t xml:space="preserve">Authorized representatives for 15.:  </w:t>
        <w:br/>
        <w:t xml:space="preserve">Attorneys Becker, Büttner, Held  </w:t>
        <w:br/>
        <w:t xml:space="preserve">(Ms. Attorney Dr. Neveling)  </w:t>
        <w:br/>
        <w:t xml:space="preserve">Köpenicker Str. 9  </w:t>
        <w:br/>
        <w:t xml:space="preserve">10997 Berlin  </w:t>
        <w:br/>
        <w:t xml:space="preserve">16. Fortum Energie GmbH, Hamburg  </w:t>
        <w:br/>
        <w:t xml:space="preserve">Authorized representatives for 16.:  </w:t>
        <w:br/>
        <w:t xml:space="preserve">Attorneys Becker, Büttner, Held  </w:t>
        <w:br/>
        <w:t xml:space="preserve">(Ms. Attorney Dr. Zenke)  </w:t>
        <w:br/>
        <w:t xml:space="preserve">Köpenicker Str. 9  </w:t>
        <w:br/>
        <w:t xml:space="preserve">10997 Berlin  </w:t>
        <w:br/>
        <w:t xml:space="preserve">17. Verbundnetz Gas AG  </w:t>
        <w:br/>
        <w:t xml:space="preserve">Braunstraße 7  </w:t>
        <w:br/>
        <w:t xml:space="preserve">04347 Leipzig  </w:t>
        <w:br/>
        <w:t xml:space="preserve">- Intervening parties -  </w:t>
        <w:br/>
        <w:t xml:space="preserve">regarding the examination of a merger project pursuant to § 36 of the  </w:t>
        <w:br/>
        <w:t xml:space="preserve">Act against Restraints of Competition (GWB), the  </w:t>
        <w:br/>
        <w:t xml:space="preserve">8th Decision Division decided on January 17, 2002:  </w:t>
        <w:br/>
        <w:t xml:space="preserve">1. The merger project registered by letter dated August 15, 2001, received by the Bundeskartellamt on August 16, 2001, is prohibited.  </w:t>
        <w:br/>
        <w:t xml:space="preserve">2. The fee for this decision is set at  </w:t>
        <w:br/>
        <w:t xml:space="preserve">xxx,-- €  </w:t>
        <w:br/>
        <w:t>(in words: xxx Euro)</w:t>
      </w:r>
    </w:p>
    <w:p>
      <w:r>
        <w:rPr>
          <w:b/>
        </w:rPr>
        <w:t>[Pages 4–6]</w:t>
      </w:r>
    </w:p>
    <w:p>
      <w:r>
        <w:t>- 4 -</w:t>
        <w:br/>
        <w:t>set market areas competitive offers for gas supply. E.ON further argues that the merger will not lead to a strengthening of Ruhrgas's position in the supply of gas to distributors, as E.ON has no legal means to direct the gas procurement of its subsidiaries or affiliated companies towards Ruhrgas. E.ON also maintains that the merger will not hinder horizontal competition between E.ON group companies and Ruhrgas in supplying municipal utilities on one hand and end-consuming large gas customers on the other. It is part of Ruhrgas's business policy as a long-distance gas company to provide its distributors with competitive offers in their traditional market areas.</w:t>
      </w:r>
    </w:p>
    <w:p>
      <w:r>
        <w:t>- 5 -</w:t>
        <w:br/>
        <w:t>E.ON's acquisition of a majority stake in Gelsenberg is the first step towards achieving E.ON's declared goal of obtaining a majority in Ruhrgas. The shareholders of Bergemann, RWE-DEA AG for Mineral Oil and Chemicals (10.0806% in Bergemann, corresponding to 3.5046% in Ruhrgas) and its subsidiary RWE Systems AG (0.0105% in Bergemann, corresponding to 0.0036% in Ruhrgas), have already granted E.ON an option to purchase their shares in Bergemann. The acquisition of all shares in Bergemann and thus obtaining a majority in Ruhrgas has already been notified to the Bundeskartellamt (B 8 – 149/01).</w:t>
      </w:r>
    </w:p>
    <w:p>
      <w:r>
        <w:t>4. By decision of October 2, 2001, the decision-making department has admitted ENRON Energie GmbH, Frankfurt/M. (ENRON), Concord Power Verwaltungsgesellschaft mbH, Hamburg (Concord), Bewag Aktiengesellschaft Berlin (Bewag), Aquila Energy GmbH, Essen (Aquila), Wingas GmbH Kassel (Wingas), and nat Gas AG, Berlin (nat Gas) as interveners in the merger control proceedings upon their applications. With this decision, Ruhrgas was initially also admitted to the proceedings. However, during the course of the proceedings, it was concluded that Ruhrgas is involved in a merger situation realized by the project (see below para. 15). Ruhrgas is therefore now treated in this capacity as a party to the proceedings.</w:t>
      </w:r>
    </w:p>
    <w:p>
      <w:r>
        <w:t>RWE AG, Essen (RWE), was admitted to the proceedings by decision of November 2, 2001, and Energie Baden-Württemberg AG, Karlsruhe (EnBW), by decision of November 26, 2001. Furthermore, Gaz de France Deutschland GmbH, Berlin (GdF), Trianel European Energy Trading GmbH, Aachen (TEET), and Fortum Energie GmbH, Hamburg (Fortum), were admitted to the proceedings by decision of December 18, 2001, as well as Verbundnetz Gas AG, Leipzig (VNG), by decision of January 8, 2002.</w:t>
      </w:r>
    </w:p>
    <w:p>
      <w:r>
        <w:t>5. By letter dated November 30, 2001, the parties involved at that time were informed of the reasons why the decision-making department intends to prohibit the merger project and were given the opportunity to comment.</w:t>
      </w:r>
    </w:p>
    <w:p>
      <w:r>
        <w:t>6. E.ON responded with a letter dated December 7, 2001. It initially opposes the decision-making department's view that the intended merger also constitutes a merger situation in relation to E.ON/Ruhrgas (§ 37 Abs. 1 Nr. 4 GWB). In the gas sector, it argues that the improved conditions for transit competition have led to nationwide markets. Ruhrgas does not hold a dominant market position there. In its opinion, the merger project does not secure Ruhrgas's position in the initial supply of gas to distributors, as E.ON has no legal means to direct the gas procurement of these companies towards Ruhrgas, neither in its group companies nor in its affiliated companies. E.ON further believes that the merger project does not hinder horizontal competition between E.ON group companies and Ruhrgas in supplying municipal utilities on one hand and end-consuming large gas customers on the other. It is part of Ruhrgas's business policy as a long-distance gas company to provide its distributors with competitive offers in their traditional market areas.</w:t>
      </w:r>
    </w:p>
    <w:p>
      <w:r>
        <w:rPr>
          <w:b/>
        </w:rPr>
        <w:t>[Pages 7–9]</w:t>
      </w:r>
    </w:p>
    <w:p>
      <w:r>
        <w:t>- 7 -</w:t>
        <w:br/>
        <w:t>will not compete with its distributors in their traditional sales areas. Furthermore, the E.ON companies do not hold a dominant market position vis-à-vis the end-consuming large gas customers, among other reasons, because industrial gas customers regularly have so-called bivalent or multivalent facilities that can be operated not only with gas but also with other energy sources. These customers are not dependent on gas as a primary energy source. In the electricity sector, E.ON assumes that functioning competitive markets exist that exclude the existence of a dominant duopoly. If such a dominant duopoly were assumed, this position would not be strengthened by the merger project. The hindrance of independent electricity producers, who could compete with the duopoly using gas-fired power plants, is unrealistic due to existing power plant overcapacities and a high gas price level.</w:t>
        <w:br/>
        <w:t>7. To avert the prohibition of the notified merger project intended by the Bundeskartellamt, E.ON has proposed to link a clearance with conditions.</w:t>
        <w:br/>
        <w:t>To promote gas transmission competition in the network areas of the E.ON group companies Schleswag, Heingas/HGW (including Hansegas), and Avacon, E.ON has proposed the following conditions:</w:t>
        <w:br/>
        <w:t>- Publication of network usage modalities, network maps, the calculation method for transmission fees, available capacities, and a commitment to non-discriminatory network access</w:t>
        <w:br/>
        <w:t>- Willingness to establish physical connections to the pipeline network of the aforementioned E.ON regional suppliers</w:t>
        <w:br/>
        <w:t>- Each respective group company declares its willingness to exchange gas of different qualities instead of transmission in its network (these first three points merely extend the commitments already made by E.ON in the merger proceedings E.ON/Heingas (B 8 – 132/00) to Avacon)</w:t>
        <w:br/>
        <w:t>- Implementation of transmission for heating/cooking gas customers based on synthetic load profiles with immediate effect, and waiver of performance measurement</w:t>
        <w:br/>
        <w:t>- Willingness to grant non-discriminatory access to the available capacities of the regional storage facilities (two storage facilities each from HGW/Heingas and Avacon)</w:t>
        <w:br/>
        <w:t>- Simplification of contract handling when concluding transmission contracts (conclusion of only one contract for the regional and end distribution level of the aforementioned companies)</w:t>
        <w:br/>
        <w:t>- Creation of a balancing mechanism for areas of the same gas quality and for metered customers in contiguous high-pressure networks of Avacon, Schleswag, and HGW.</w:t>
        <w:br/>
        <w:t>Additionally, E.ON has agreed to accept the following divestiture conditions:</w:t>
        <w:br/>
        <w:t>- Divestiture of its 22% stake in Bayerngas</w:t>
        <w:br/>
        <w:t>- Divestiture of its 12.95% stake in GASAG</w:t>
        <w:br/>
        <w:t>- Divestiture of its 5.26% stake in VNG</w:t>
        <w:br/>
        <w:t>8. Ruhrgas responded to the announcement of a prohibition order with a letter dated December 7, 2001:</w:t>
        <w:br/>
        <w:t>Ruhrgas also opposes the decision-making department considering a merger condition to be fulfilled in relation to E.ON/Ruhrgas in addition to the merger conditions in relation to E.ON/Gelsenberg and E.ON/DBP due to the merger project. Since Ruhrgas believes it is not involved in a merger condition, it does not matter whether the merger project strengthens Ruhrgas's dominant position. "Third companies" may only be included in a merger control examination if they are to be considered affiliated companies in relation to the companies involved in the merger. Furthermore, the gas market in which Ruhrgas operates should no longer be limited to the formerly protected supply area of Ruhrgas. Since the market counterpart has spatial reference alternatives, the relevant spatial market encompasses a large part of the community, including the Federal Republic of Germany. Furthermore, Ruhrgas also believes that when supplying industrial large customers with gas, one should refer to a heat market as the relevant market rather than a gas market. Industrial large customers are often equipped with bi- or multivalent facilities, allowing them to switch to other energy sources without conversion costs. In such a delineated market, Ruhrgas does not hold a dominant position due to a lack of superior behavioral leeway. Ruhrgas also does not hold a dominant position in the market for the initial supply of gas to gas distributors. Ruhrgas does not have superior structural advantages over current and potential competitors. Additionally, since the national legal framework enables transmission competition, it also does not have superior behavioral leeway in this market and thus does not hold a dominant position.</w:t>
        <w:br/>
        <w:t>9. The intervenors have expressed their views on the merger project and the conditions proposed by E.ON as follows:</w:t>
        <w:br/>
        <w:t>(Enron, Aquila, Wingas, and nat Gas) have stated that E.ON already gains a "significantly competitive influence" on Ruhrgas with the acquisition of a majority stake in Gelsenberg. In the gas sector, this influence means that E.ON group companies strengthen their regionally dominant positions in supplying gas resellers and end-consuming large gas customers by eliminating potential competition from Ruhrgas (according to Aquila, Wingas, Fortum). Particularly intervening gas traders (e.g., Enron, Aquila, nat Gas) fear that as a result of the notified merger project, they will face increased difficulties in accessing Ruhrgas transport pipelines in competition with E.ON companies. Almost unanimously, the intervenors assume that Ruhrgas, as a result of the merger...</w:t>
      </w:r>
    </w:p>
    <w:p>
      <w:r>
        <w:rPr>
          <w:b/>
        </w:rPr>
        <w:t>[Pages 10–12]</w:t>
      </w:r>
    </w:p>
    <w:p>
      <w:r>
        <w:t>- 10 -</w:t>
        <w:br/>
        <w:t>merger project will strengthen its dominant position in the supply of distributors. This is particularly true due to the improved access to distributors in which E.ON holds stakes. In this respect, increased difficulties for alternative gas suppliers to gain access to E.ON-affiliated companies would lead to market foreclosure. Enron, nat Gas, and Aquila have submitted an expert opinion from the economic institute frontier economics to support their related arguments. A number of interveners (e.g., Trianel, Aquila, Enron, Fortum, Wingas) have stated that there is still no functioning (transmission) competition in the gas markets despite the Gas Association Agreement and its amendments due to numerous practical difficulties, and therefore the notified merger project should be assessed particularly critically due to its structural entrenching effect in a phase of hesitant liberalization. In particular, the intervening party Concord Power, but also the intervening parties Wingas and Enron, have pointed out concerning effects of the merger project in the electricity sector, as E.ON, with its future influence on Ruhrgas, could hinder other electricity providers, especially independent power producers (IPP) generating electricity in gas-fired power plants, in their gas procurement. RWE, however, has noted intense competition in domestic electricity markets in this context. The conditions offered by E.ON have been assessed by the interveners who commented on them (Wingas, EnBW, Bewag, Fortum, Trianel, Aquila, RWE, Concord Power) as unsuitable to neutralize the deteriorations of competitive conditions in the gas markets resulting from the merger project.</w:t>
        <w:br/>
        <w:t>10. By fax dated December 5, 2001, the decision-making department informed the highest state authorities of North Rhine-Westphalia and Hamburg of the reasons why it intends to prohibit the merger project and provided an opportunity for comments. Both state authorities did not comment.</w:t>
        <w:br/>
        <w:t>II. The participating companies</w:t>
        <w:br/>
        <w:t>11. E.ON and the companies affiliated with it within the meaning of § 36 Abs. 2 GWB are primarily active in the energy industry (electricity, gas), chemicals, real estate, telecommunications, and mineral oil industry. The group was formed in June 2000 from the merger of Veba AG and VIAG AG. The energy activities are consolidated in E.ON Energie AG, which also holds the group's stakes in energy supply companies. Overall, E.ON Energie is directly and indirectly involved in over 200 companies in the energy sector with at least 10% stakes. In the electricity sector, E.ON is one of the two leading electricity supply companies in Germany, alongside the RWE group. It operates at all levels of the electricity industry: electricity supply, interregional electricity transport, regional electricity distribution, and last-resort electricity supply. Its traditional supply area includes the northern federal states of Schleswig-Holstein, Lower Saxony, and large parts of Hesse (operating area of the former Veba subsidiary PreussenElektra); on the other hand, it encompasses most of the federal state of Bavaria (operating area of the former VIAG subsidiary Bayernwerk AG). There, E.ON operates directly or through group companies an extensive high-voltage (from 220 kV), medium-voltage (110 kV), and low-voltage (up to 1 kV) network. Due to geographical expansion, the E.ON low-voltage network in the north has connections with high-voltage networks in Scandinavia as well as in the south and east with those of Austria and the Czech Republic. E.ON is also active in the high-voltage network of VEAG Vereinigte Energiewerke AG with the two major regional electricity supply companies e.dis (parts of Brandenburg and Mecklenburg-Vorpommern) and Teag (Thuringia).</w:t>
      </w:r>
    </w:p>
    <w:p>
      <w:r>
        <w:t>- 12 -</w:t>
        <w:br/>
        <w:t>In the gas sector, E.ON is active through group and affiliated companies in the area of regional gas distribution and last-resort supply (group companies include Schleswag, Heingas, Hansegas, Avacon, Gelsenwasser, East Mecklenburg Gas Supply). Numerous E.ON group and affiliated companies procure natural gas from Ruhrgas (in the old federal states) or VNG (in the new federal states). E.ON holds a direct stake of 0.0602% in Ruhrgas and an indirect stake of 0.1827% through Bergemann GmbH. E.ON holds a stake of 5.26% in VNG. The E.ON group achieved the following revenues in the fiscal year 2000: worldwide: 162.301 billion DM (82.983 billion Euro) EU-wide: xxx billion DM (xxx billion Euro) in Germany: xxx billion DM (xxx billion Euro) (these revenue figures include the revenues of the former Veba business area for the entire year 2000; the revenues of the former VIAG business area are only included from July 2000 onwards.)</w:t>
        <w:br/>
        <w:t>12. Gelsenberg is a holding company whose business activity is limited to holding the directly and indirectly held Ruhrgas shares (see para. 3). It therefore did not generate any revenues from commercial activities. Gelsenberg is 100% owned by DBP.</w:t>
        <w:br/>
        <w:t>13. Bergemann is also a holding company that was founded in the 1960s by the then Ruhrgas shareholders after the decision was made to admit new shareholders from the natural gas industry into the shareholder circle. The aim was to ensure a unified appearance of the old shareholders within the decision-making bodies of Ruhrgas through the pooling of votes in the shareholders' meeting of Bergemann. The Ruhrgas shareholder Gelsenberg only contributed a Ruhrgas fractional share to the</w:t>
      </w:r>
    </w:p>
    <w:p>
      <w:r>
        <w:rPr>
          <w:b/>
        </w:rPr>
        <w:t>[Pages 13–15]</w:t>
      </w:r>
    </w:p>
    <w:p>
      <w:r>
        <w:t>- 13 -</w:t>
        <w:br/>
        <w:t>Bergemann to retain a direct 25% shareholding in Ruhrgas. However, due to contractual agreements (contract between Gelsenberg and Bergemann in conjunction with the articles of association of Bergemann), the voting rights from this shareholding are represented in the general meeting of Ruhrgas by Bergemann. For this purpose, Gelsenberg participates in the voting in the shareholders' meeting of Bergemann with regard to the exercise of voting rights from the Ruhrgas shares (Bergemann Pool). Thus, the Bergemann Pool has – including Gelsenberg – voting rights from 59.7558% of Ruhrgas shares. The shareholder structure of Bergemann and the distribution of voting rights in the Bergemann Pool are as follows:</w:t>
        <w:br/>
        <w:t>Capital Shares Voting Rights</w:t>
        <w:br/>
        <w:t>in Bergemann Shares in</w:t>
        <w:br/>
        <w:t>GmbH Bergemann Pool</w:t>
        <w:br/>
        <w:t>RAG Beteiligungs-GmbH % %</w:t>
        <w:br/>
        <w:t>Vodafone AG (formerly Mannesmann AG) % %</w:t>
        <w:br/>
        <w:t>ThyssenKrupp AG % %</w:t>
        <w:br/>
        <w:t>RWE-DEA % %</w:t>
        <w:br/>
        <w:t>Eschweiler Bergwerks-Verein % %</w:t>
        <w:br/>
        <w:t>E.ON % %</w:t>
        <w:br/>
        <w:t>Gelsenberg % %</w:t>
        <w:br/>
        <w:t>Harpen AG (RWE) % %</w:t>
        <w:br/>
        <w:t>Hydro Chemicals Deutschland GmbH</w:t>
        <w:br/>
        <w:t>(Norsk Hydro) % %</w:t>
        <w:br/>
        <w:t>RWE Systems AG % %</w:t>
        <w:br/>
        <w:t>Contigas Deutsche Energie AG % %</w:t>
        <w:br/>
        <w:t>Preussag Energie GmbH % %</w:t>
        <w:br/>
        <w:t>Bergemann GmbH % %</w:t>
        <w:br/>
        <w:t>Gelsenberg %</w:t>
        <w:br/>
        <w:t>Bergemann Pool %</w:t>
        <w:br/>
        <w:t>For resolutions within the pool, a qualified majority is required when the corresponding resolutions at Ruhrgas also require a qualified majority. Due to the regulations on decision-making in the shareholders' meeting of Ruhrgas, voting is generally to be conducted by simple majority (cf. Articles of Association Ruhrgas, § 19, paragraph 2).</w:t>
        <w:br/>
        <w:t>14. Ruhrgas is one of the leading and the largest importing long-distance gas companies in Germany. According to the figures submitted by the notifying companies for the year 1999, Ruhrgas achieved a domestic gas sales volume of 550 billion kWh, accounting for nearly 60% of the total domestic natural gas supply (production plus imports minus exports, injection volumes into storage, and self-consumption) of 932 billion kWh. Ruhrgas has concluded supply contracts with the most important German natural gas production companies and imports gas from the key natural gas producing countries Russia, Norway, the Netherlands, and the United Kingdom. Ruhrgas has formed consortia with other German gas importers (Thyssengas, BEB) for the procurement of natural gas from foreign sources. Ruhrgas holds a strategic stake of approximately 5% in the Russian gas production company Gazprom. Ruhrgas operates alone or together with partners the most extensive long-distance gas pipeline network in Germany, with connection points to the gas networks of all major gas producing countries. The long-distance gas pipeline network of Ruhrgas reached a length of 10,748 km in the year 2000. Notable examples include:</w:t>
        <w:br/>
        <w:t>- DEUDAN Deutsch Dänische Erdgastransportgesellschaft mbH (25% Ruhrgas)</w:t>
        <w:br/>
        <w:t>- MEGAL GmbH (high-pressure long-distance gas pipeline from the German/Czech to the German/French border; 50% Ruhrgas)</w:t>
        <w:br/>
        <w:t>- Trans Europe Naturgas Pipeline GmbH (TENP; 51% Ruhrgas)</w:t>
        <w:br/>
        <w:t>- NETRA pipeline (North Sea-Salzwedel-Berlin, 44.3% Ruhrgas).</w:t>
        <w:br/>
        <w:t>The sales focus of Ruhrgas within its long-distance gas pipeline networks that traverse all of Germany includes all former federal states except for the areas in North Rhine-Westphalia and Northern Germany, where the long-distance gas companies Thyssengas and BEB as well as EWE operate, plus Thuringia and southern parts of Saxony and Saxony-Anhalt. Ruhrgas supplies 90% to gas wholesalers. 10% of sales are made to end-consuming industrial customers. Ruhrgas has numerous gas storage facilities distributed across its pipeline network with a total working capacity of 48.49 billion kWh (in 2000) and additionally contracted capacities of approximately 1.5 billion kWh (as of 1999).</w:t>
        <w:br/>
        <w:t>Ruhrgas holds a majority stake in Ferngas Nordbayern GmbH. It also controls (with a 50% stake, the other 50% held by the East German long-distance gas company VNG) the EVG Erdgasversorgungs-Gesellschaft Thüringen-Sachsen mbH. Ruhrgas holds a 36.8% stake in VNG.</w:t>
        <w:br/>
        <w:t>In the year 2000, Ruhrgas sold a total of 612.5 billion kWh of gas.</w:t>
        <w:br/>
        <w:t>It achieved a consolidated revenue of 20,571 million DM (= 10,518 Euro) in the fiscal year 2000.</w:t>
        <w:br/>
        <w:t>In addition to Bergemann and Gelsenberg, Ruhrgas is also involved with Brigitta Erdgas und Erdöl GmbH (50% Shell and 50% Esso) with 25% and Schubert Beteiligungs-GmbH with 10.0423%. Through the transfer of voting rights from other shareholders, Schubert Beteiligungs-GmbH exercises a total of voting rights from shares amounting to 15% at Ruhrgas.</w:t>
        <w:br/>
        <w:t>III. Merger</w:t>
        <w:br/>
        <w:t>15. The merger project fulfills the merger criteria of § 37 Abs. 1 Nr. 2 GWB in relation to E.ON/Gelsenberg as well as that of § 37 Abs. 1 Nr. 3 Sentence 1 lit a GWB. In relation to E.ON/DBP, the merger criteria of § 37 Abs. 1 Nr. 3 Sentence 3 GWB (joint venture) are also fulfilled.</w:t>
        <w:br/>
        <w:t>Furthermore, the decision-making department assumes that with the acquisition transaction in connection with other circumstances in relation to E.ON/Ruhrgas, the merger criteria of § 37 Abs. 1 Nr. 4 GWB are fulfilled. With the acquisition</w:t>
      </w:r>
    </w:p>
    <w:p>
      <w:r>
        <w:rPr>
          <w:b/>
        </w:rPr>
        <w:t>[Pages 16–18]</w:t>
      </w:r>
    </w:p>
    <w:p>
      <w:r>
        <w:t>- 16 -</w:t>
        <w:br/>
        <w:t>of control over Gelsenberg, taking into account further circumstances between E.ON and Ruhrgas, a "other connection" is established, as a result of which E.ON can indirectly exert a competitively significant influence on Ruhrgas. E.ON has already been granted a timely option by RWE to acquire its approximately 10.1% shares in Bergemann (equivalent to 3.5% in Ruhrgas). E.ON itself has announced the successful conclusion of negotiations for the acquisition of the shares held by Vodafone AG in Bergemann amounting to 23.5523% (equivalent to 8.1856% in Ruhrgas). The recent notification of the acquisition of 100% of the Bergemann shares to the Bundeskartellamt also indicates that other Bergemann shareholders are at least in sales negotiations with E.ON. All of this suggests that the current Bergemann shareholders will no longer act against the interests of E.ON in votes within the Bergemann pool. Special consideration is to be expected from RWE and Vodafone, which have already committed to selling their shares to E.ON. This alone is sufficient to secure a majority of votes in the Bergemann pool and thus dominate the majority stake of the Bergemann pool in Ruhrgas. Even if one assumes that the majority in the Bergemann pool is still unstable due to the theoretical possibility that RWE and Vodafone could vote contrary to E.ON, the overall circumstances already indicate at least a significant influence of E.ON on Ruhrgas, which is to be classified as "competitively significant" due to the intersections of both companies in the gas sector. To the extent that E.ON and Ruhrgas oppose the assumption of this merger criterion with the argument that § 37 Abs. 1 Nr. 4 GWB merely represents a fallback provision in relation to the other criteria of the merger catalog, they overlook that no other "prioritized" merger criterion is being realized between E.ON and Ruhrgas. Since § 37 Abs. 1 Nr. 4 GWB explicitly also covers the "indirect" acquisition of a competitively significant influence, the merger criterion is not excluded by the merger criteria realized in the relationship E.ON/Gelsenberg under § 37 Abs. 1 Nr. 2 and Nr. 3 Sentence 1 lit. a GWB.</w:t>
        <w:br/>
        <w:t>IV. Scope of Application of the GWB</w:t>
        <w:br/>
        <w:t xml:space="preserve">16. The merger project is subject to notification and control under § 39 in conjunction with § 35 GWB, as the turnover of the companies involved in the mergers exceeds the thresholds of 1 billion DM worldwide and 50 million DM in domestic turnover, and the mergers affect markets with an annual turnover volume of more than 30 million DM (§ 35 Abs. 2 Sentence 1 Nr. 2 GWB). </w:t>
        <w:br/>
        <w:t>The applicability of the GWB and thus the jurisdiction of the Bundeskartellamt for the merger control examination arises from the fact that none of the realized mergers has community-wide significance, as all involved companies generate more than 2/3 of their community-wide turnover in Germany (Art. 1 Abs. 3, last half-sentence of Regulation (EEC) No. 4064/89 of the Council of December 21, 1989, on the control of concentrations between undertakings, as amended by Regulation (EC) No. 1310/97 of the Council of June 10, 1997 in conjunction with § 35 Abs. 3 GWB).</w:t>
        <w:br/>
        <w:t>V. Competitive Assessment</w:t>
        <w:br/>
        <w:t>17. The merger project is to be prohibited under § 36 Abs. 1 GWB. It is expected to strengthen dominant market positions both in the sale of gas and in the sale of electricity.</w:t>
        <w:br/>
        <w:t>18. In the gas sector, the merger project is expected to strengthen the dominant position of Ruhrgas in supplying gas distributors by securing sales to E.ON group and affiliated companies at the long-distance gas level. Furthermore, it is expected that the merger project will strengthen the dominant positions of E.ON gas supply group and affiliated companies, which are in the area of the Ruhrgas long-distance pipeline network, in supplying industrial/commercial large gas customers on the one hand and local gas distributors (municipal utilities) on the other hand by eliminating the potential competition from Ruhrgas. For the purposes of this merger control procedure, reference is made to the strengthening of the dominant positions of the E.ON group companies Avacon AG, Helmstedt, Schleswag Aktiengesellschaft, Rendsburg, Heingas Hamburger Gaswerke GmbH, Hamburg, as well as Gelsenwasser AG, Gelsenkirchen, with their 100% subsidiary Niederrheinische Gas- und Wasserwerke GmbH, Duisburg, as it is established that their supply areas are located within the pipeline area of Ruhrgas.</w:t>
        <w:br/>
        <w:t>19. In the electricity sector, the merger project is expected to strengthen dominant positions held by E.ON Energie together with the RWE group company RWE Plus AG in nationwide markets both in supplying industrial/commercial large electricity customers and in supplying redistributing regional electricity supply companies and municipal utilities due to the acquisition of significant influence over the primary energy supplier Ruhrgas.</w:t>
        <w:br/>
        <w:t>A. GAS</w:t>
        <w:br/>
        <w:t>A. I. Ruhrgas</w:t>
        <w:br/>
        <w:t>20. The merger project will strengthen the dominant position of Ruhrgas at the wholesale gas level (initial supply to regional long-distance gas companies and regional/local gas resellers) through supra-regional long-distance gas companies.</w:t>
        <w:br/>
        <w:t>A. I. 1. Relevant Market Definition</w:t>
        <w:br/>
        <w:t>21. Within the multi-tiered distribution system of the gas industry, the market for initial supply</w:t>
      </w:r>
    </w:p>
    <w:p>
      <w:r>
        <w:rPr>
          <w:b/>
        </w:rPr>
        <w:t>[Pages 19–21]</w:t>
      </w:r>
    </w:p>
    <w:p>
      <w:r>
        <w:t>- 19 -</w:t>
        <w:br/>
        <w:t>The market for the initial supply of distributors by supra-regional long-distance gas companies is to be regarded as a separate relevant market. Although gas quantities are also delivered by intermediaries (usually regional long-distance gas companies) to ultimately distributing local resellers, these quantities are disregarded here, as they are usually already supplied by the supra-regional long-distance gas companies to the regional gas resellers, which would result in double counting of gas quantities. There are no substitution possibilities for gas in this relevant market, as the respective resellers cannot switch to another energy source.</w:t>
        <w:br/>
        <w:t>A. I. 2. Spatial Market Delimitation</w:t>
        <w:br/>
        <w:t xml:space="preserve">22. In spatial terms, the decision-making department delineates the relevant gas markets and thus also the market for the initial supply of distributors in constant practice according to the network areas of the involved companies. This was based, until the amendment of the Energy Industry Act in 1998, on the fact that the companies, due to their ownership of the gas pipelines, the industry-standard demarcation and exclusive concession contracts, as well as long-term gas supply contracts, were not exposed to competition. This market delimitation has been confirmed by the judiciary for the pipeline-bound energy industry in the cases "Stromversorgung Aggertal" and "Stadtwerke Garbsen" even in 1997, in light of the impending liberalization of the energy industry (BGH WuW/DE-R 24, 27 and 32, 33). </w:t>
        <w:br/>
        <w:t>Although the legalization of competition-restricting agreements for the isolation of supply areas has been eliminated with the amendment of the energy industry law in 1998, and the possibilities for enforcing transit competition in individual cases have been improved with the introduction of § 19 Abs. 4 Nr. 4 GWB, this spatial market delimitation must be maintained (see also the decision of the Federal Cartel Office of July 3, 2000, in the matter of RWE/VEW – B 8 – 309/99-, para. 722;</w:t>
      </w:r>
    </w:p>
    <w:p>
      <w:r>
        <w:t>- 20 -</w:t>
        <w:br/>
        <w:t xml:space="preserve">www.bundeskartellamt.de/entscheidungen 2000). To date, the conditions for gas transit have not significantly improved despite the signing of the Gas Association Agreement (VVG) including two amendments. The agreements still leave a multitude of questions open regarding the practical implementation of transit requests, so that, not least in view of the previously extremely sluggish process of gas market opening, it cannot be expected from today's standpoint that a "transit automatism" will develop in the near future, which would be a prerequisite for a further spatial market delineation. The spatial market in which Ruhrgas operates in the supply of distributors is therefore congruent with the pipeline network designated for the supply of distributors by Ruhrgas in its above-described (para. 10) large-scale sales areas. </w:t>
        <w:br/>
        <w:t>This spatial market delimitation of the gas distribution market is not contradicted by the fact that the spatial activity area of Ruhrgas is partially traversed by long-distance pipelines of other long-distance gas companies (Thyssengas, Wingas). If competitive effects from the pipeline networks of other long-distance gas companies arise in regionally defined markets, these must be taken into account within the framework of the market conditions in these markets.</w:t>
        <w:br/>
        <w:t>23. The substantive and spatial market delimitation carried out here is also in accordance with the decision-making practice of the EU Commission (most recently in the Exxon/Mobil procedure (Case No. IV/M-1383)).</w:t>
        <w:br/>
        <w:t>A. I. 3. Market Dominance</w:t>
        <w:br/>
        <w:t xml:space="preserve">24. Ruhrgas holds at least a dominant market position in its area of activity regarding the initial supply of gas distributors (regional long-distance gas companies as well as regional/local gas suppliers) within the meaning of § 19 Abs. 2 Nr. 2 GWB. Within the Ruhrgas area, Ruhrgas itself supplies nearly all relevant resellers. In the year 2000, it sold 446,400 GWh (including the sales of its subsidiaries EVG and Ferngas Nordbayern) to this customer group. Only marginal quantities were delivered to this customer group via transit through the Ruhrgas pipeline network in the year 2000. In the first half of 2001, transit volumes increased. However, the share of these deliveries is still below 1% of the Ruhrgas sales volume. </w:t>
        <w:br/>
        <w:t xml:space="preserve">Sales by other German supra-regional long-distance gas companies Thyssengas, BEB, VNG, and Wingas through their own gas pipelines in the Ruhrgas sales area can only be made by Wingas at most. The other supra-regional long-distance gas companies form their own spatial markets with their historically grown pipeline networks. Only Wingas crosses (besides Ruhrgas) with its long-distance gas pipelines the supply areas of other long-distance gas companies. The sales of Wingas to resellers in the Ruhrgas sales area are not known. However, even if one were to assume that Wingas would conduct all its sales to resellers in the traditional sales area of Ruhrgas, this would not affect the dominant market position of Ruhrgas. Its share would still be around xxx%, a market share that exceeds the threshold of the presumption of market dominance under § 19 Abs. 3 Sentence 1 GWB by more than two and a half times. </w:t>
        <w:br/>
        <w:t>In addition to this market share, which far exceeds the presumption of market dominance, Ruhrgas is also far superior to other long-distance gas companies in other factors determining the market power of a long-distance gas company. It is the only one with a dominant access to all gas production sources relevant for the supply of Germany (Norway, Russia, Netherlands, Great Britain, domestic sources). It also has the most extensive long-distance gas pipeline network, which provides it with both superior access to suppliers and to customers. Furthermore, it possesses the absolutely highest storage capacities, which are significant for regulating sales fluctuations. These framework conditions give it a behavioral advantage over other long-distance gas companies.</w:t>
      </w:r>
    </w:p>
    <w:p>
      <w:r>
        <w:rPr>
          <w:b/>
        </w:rPr>
        <w:t>[Pages 22–24]</w:t>
      </w:r>
    </w:p>
    <w:p>
      <w:r>
        <w:t>- 22 -</w:t>
        <w:br/>
        <w:t>25. Even if one were to assume a nationwide market for the initial supply of gas distributors with the registering companies, Ruhrgas would still hold a dominant market position there. The decision-making department bases this on a market volume of 774,537 GWh. This initially includes the sales of the importing long-distance gas companies Ruhrgas, Wingas, Thyssengas, and VNG, the domestic gas producer and importer BEB, as well as the domestic gas producer Mobil Erdgas-Erdöl GmbH to this customer group. The total sales volume (own sales and sales on behalf of their shareholders) of the natural gas sales company Münster (EVG), an outlet organization of domestic gas producers, to this customer group has also been included. Cross-deliveries from the aforementioned companies have not been considered and, if they have been sold to distributors, have been attributed to the respective long-distance gas companies. Ruhrgas has a market share of approximately 58% of the market volume thus determined. This market share also lies far beyond the threshold of the presumption of market dominance according to § 19 Abs. 3 Satz 1 GWB. In conjunction with the structural advantages of Ruhrgas described above, it also documents the at least superior and thus also market-dominating position of Ruhrgas in a national market.</w:t>
        <w:br/>
        <w:t>A. I. 4. Strengthening of the dominant market position</w:t>
        <w:br/>
        <w:t>26. The dominant position of Ruhrgas in the initial supply of gas distributors is reinforced by the merger project, as the resulting indirect capital connection between E.ON and Ruhrgas secures the sales of the quantities of gas already supplied by Ruhrgas to E.ON's group and affiliated companies and additionally opens up the opportunity for Ruhrgas to obtain a higher share than previously of the gas quantities needed by E.ON's group and affiliated companies for their sales activities in the future. It can be assumed that the E.ON group will preferentially consider the interests of its affiliated company Ruhrgas in future decisions regarding the conclusion of gas supply contracts. E.ON can ensure such behavior towards its subsidiaries if necessary through internal group measures. Such behavior from E.ON is to be expected regardless of the specific influence E.ON gains over Ruhrgas through Gelsenberg and the Bergemann pool. The mere interest that E.ON has in the economic success of Ruhrgas after the merger (such an interest is already present with the 25.5% stake mediated through Gelsenberg) will lead to E.ON group companies entering into negotiations over gas supply contracts with Ruhrgas as the preferred gas supplier. Even if it cannot be assumed that Ruhrgas will be able to enforce higher gas prices than other suppliers against E.ON group companies, it can be expected that Ruhrgas will always be favored when it presents an equally favorable offer as a competitor, taking all circumstances into account. The other shareholders of the E.ON companies generally have no reason to oppose the wishes of their co-shareholder E.ON when the company does not suffer any disadvantages from a direct or indirect supply from Ruhrgas. A comparable sales securing effect is also present in relation to gas sales to E.ON affiliated companies (E.ON holds stakes of at least 10% in approximately 190 companies that operate gas supply).</w:t>
        <w:br/>
        <w:t>27. The effects of the capital connection of E.ON with Ruhrgas are significant. In the year 2000, approximately xxx GWh were already supplied by Ruhrgas or by group companies of Ruhrgas to the nearly 40 group companies of E.ON that purchase gas (total purchase volume in 2000: xxx GWh). The directly sales-secured effect towards this customer group, which can be directly influenced by E.ON, thus amounts to approximately xxx% of Ruhrgas's total sales to distributors.</w:t>
        <w:br/>
        <w:t>28. Of the approximately 90 gas supply companies in which E.ON holds a stake of 25% to 49.9% (total purchase volume in 2000: xxx GWh), approximately xxx GWh were already purchased from Ruhrgas, including its group companies, in the year 2000. The very high consideration that the affiliated companies are expected to give to the interests of E.ON at this level of participation leads to further sales security amounting to approximately xxx% of Ruhrgas's total sales to distributors.</w:t>
        <w:br/>
        <w:t>29. Finally, of the approximately 50 gas supply companies in which E.ON holds a stake of 10% to 24.9% (total purchase volume in 2000: xxx GWh), approximately xxx GWh were already purchased from Ruhrgas or its group companies in the year 2000. Even in this customer group, relevant consideration for the interests of E.ON is to be expected, which leads to further sales security in favor of Ruhrgas amounting to 20% of Ruhrgas's total sales to distributors. Even if one assumes that the threshold of the participation level, from which consideration for the economic interests of E.ON can be expected from the E.ON affiliated companies, only begins at 20%, the picture does not look significantly different. Of the approximately 30 gas supply companies in which E.ON holds a stake between 20% and 24.9% (total purchase volume in 2000: xxx GWh), xxx GWh were purchased from Ruhrgas in the year 2000. In this respect, there is still a sales securing effect of approximately</w:t>
      </w:r>
    </w:p>
    <w:p>
      <w:r>
        <w:rPr>
          <w:b/>
        </w:rPr>
        <w:t>[Pages 25–27]</w:t>
      </w:r>
    </w:p>
    <w:p>
      <w:r>
        <w:t>- 25 -</w:t>
        <w:br/>
        <w:t>xxx % of the total sales of Ruhrgas to distributors is secured.</w:t>
        <w:br/>
        <w:t>30. Overall, approximately one-third of the total current gas sales of the Ruhrgas Group to distributors is secured. This security already signifies a substantial strengthening of the dominant market position of Ruhrgas, whether one refers to its pipeline network area as the relevant spatial market or to a national market for the initial supply of resellers. Approximately one-third of the former, deemed relevant by the decision-making department, would make access more difficult for potential or current (Wingas) competitors. In a national market, the market closure effects would affect at least 20% of the market volume.</w:t>
        <w:br/>
        <w:t>31. However, the effects of the merger project do not only concern the current supply relationships of Ruhrgas with E.ON Group and affiliated companies. For example, Ruhrgas is not the sole supplier for several of the E.ON Group and affiliated companies that are currently supplied. Since the possibility of direct supply from the Ruhrgas pipeline network is evidenced by the existing supply relationship, the quantities of gas previously supplied by other long-distance gas suppliers will be available for Ruhrgas to supply in the future (upon termination of the existing supply contracts). This amounts to a total of xxx GWh for E.ON Group companies, xxx GWh for affiliated companies in which E.ON holds a stake between 25% and 49.9%, and xxx GWh for affiliated companies in which E.ON holds a stake between 10% and 24.9% (xxx GWh for affiliated companies in which E.ON holds a stake between 20% and 24.9%). Overall, Ruhrgas thus has approximately 5% of the total domestic gas quantity supplied to distributors (initially) available for supply within its traditional sales area. This also strengthens the existing dominant market position of Ruhrgas.</w:t>
        <w:br/>
        <w:t>32. Finally, the purchase volume of the E.ON Group and affiliated companies that have not yet been supplied by Ruhrgas must also be taken into account for the future position of Ruhrgas in the market. With a purchase volume of a total of 175,835 GWh (approximately 23% of the domestic (initial) gas sales to resellers), it represents another enormous sales potential that Ruhrgas has available in the long term. Of this purchase volume, xxx GWh is attributable to E.ON Group companies, xxx GWh to 25-49.9% affiliated companies, and xxx GWh to 10-24.9% affiliated companies (xxx GWh to 20-24.9% affiliated companies).</w:t>
        <w:br/>
        <w:t>33. To the extent that these companies are located within the pipeline area of Ruhrgas (not identical to the traditional sales area of Ruhrgas, cf. para. 14) and can thus be supplied directly or at least with economically justifiable investments from the Ruhrgas pipeline network, the prospects for Ruhrgas to enter the supplier position here in the medium term are high. According to an evaluation by the decision-making department, which only considered those gas distributors whose supply areas are crossed by Ruhrgas pipelines or supplied by it (total: 22), Ruhrgas would have a relatively easily accessible supply volume of 109,859 GWh (approximately 14% of the domestic (initial) gas sales to resellers) available with these companies. However, the companies considered are largely outside the traditional sales area of Ruhrgas (e.g., Schleswag, Heingas, EWE), so that the effects on the market position of Ruhrgas in the spatially relevant market delineated by the decision-making department are limited. However, if one assumes, along with the applicants, a national market, obtaining such a position would significantly strengthen the market position of Ruhrgas in this spatial market.</w:t>
      </w:r>
    </w:p>
    <w:p>
      <w:r>
        <w:t>- 27 -</w:t>
        <w:br/>
        <w:t>34. Ultimately, the E.ON Group and affiliated companies that can only be supplied through the pipeline network of other long-distance gas companies still represent a sales potential that Ruhrgas can exploit even under the currently imperfect transit conditions, whereby Ruhrgas, as the industry leader, is likely to find it relatively easier to enforce transit agreements under reasonable conditions, as most other market participants would take it into account. Therefore, if one were to assume a national market with the applicants, the dominant position of Ruhrgas in this spatial market would also be strengthened by improved access to this sales potential.</w:t>
        <w:br/>
        <w:t>35. The above statements show that the connection of E.ON with Ruhrgas leads to a dangerously high degree of vertical integration in the gas distribution market overall. It encompasses – with varying intensity – 47% of all gas quantities supplied to distributors in Germany. In a phase of beginning liberalization in the gas markets, this significantly worsens the chances for effective competition from other long-distance gas companies from the outset. The already dominant position of Ruhrgas is thus cemented.</w:t>
        <w:br/>
        <w:t>36. The strengthening of the dominant position of Ruhrgas resulting from the merger project is also procedurally relevant, contrary to the view of Ruhrgas (para. 8). On the one hand, Ruhrgas is, in the opinion of the decision-making department, directly involved in the merger scenario realized in the relationship E.ON/Ruhrgas under § 37 Abs. 1 Nr. 4 GWB (acquisition of a competitively significant influence) (cf. para. 14). On the other hand, a prohibition order based on the strengthening of the dominant position of Ruhrgas would not be precluded if Ruhrgas were not involved in this merger scenario. Because § 36</w:t>
      </w:r>
    </w:p>
    <w:p>
      <w:r>
        <w:rPr>
          <w:b/>
        </w:rPr>
        <w:t>[Pages 28–30]</w:t>
      </w:r>
    </w:p>
    <w:p>
      <w:r>
        <w:t>- 28 -</w:t>
        <w:br/>
        <w:t>Paragraph 1 GWB encompasses, according to its meaning and purpose, the emergence or strengthening of market dominance in companies that are not connected to the companies involved in the merger in the sense of § 36 Abs. 2 GWB, but in which there is a stake that would be subject to control in the event of its acquisition (cf. Mestmäcker/Veelken in Immenga/Mestmäcker, 3rd edition, § 36 Rz. 132 referring to WuW/E BGH 2111, 2119 "Gruner + Jahr – Zeit"). Gelsenberg, as a company directly involved in the E.ON/Gelsenberg merger, holds a 25.1% stake in Ruhrgas. The acquisition of this stake would fulfill the merger criteria of § 37 Abs. 1 Nr. 3 Sentence 1 lit. b GWB. The attribution of competitive effects arising from a company in which such a stake exists is justified, as the law has recognized the competitive significance of the interconnection by including it as a merger criterion (Mestmäcker/Veelken in Immenga/Mestmäcker, loc. cit.).</w:t>
      </w:r>
    </w:p>
    <w:p>
      <w:r>
        <w:t>A. II. E.ON Group and Participating Companies in the Ruhrgas Network Area</w:t>
        <w:br/>
        <w:t>37. The merger project also strengthens the dominant market positions of E.ON group and participating companies that operate in the Ruhrgas network area in supplying end-consuming large gas customers on the one hand and local gas distributors (municipal utilities) on the other hand by eliminating the potential competition posed by Ruhrgas. For pragmatic reasons, the following will exemplarily focus on the E.ON group companies Avacon AG, Helmstedt, with its supply area located in Lower Saxony, Schleswag AG, Rendsburg, with its supply area located in Schleswig-Holstein, Heingas Hamburger Gaswerke GmbH, Hamburg, with its supply area located in Hamburg and parts of Schleswig-Holstein, as well as Gelsenwasser AG, Gelsenkirchen, with its 100% subsidiary Niederrheinische Gas- und Wasserwerke GmbH, Duisburg, with its supply area located in parts of North Rhine-Westphalia, since it is established that their supply areas are traversed by long-distance gas pipelines of Ruhrgas. Contrary to E.ON's assertions, it must be assumed that the Ruhrgas pipelines, which have so far only served the long-distance transport of gas, also possess competitive potential in the form of their own supply to municipal utilities on the one hand and end-consuming large customers on the other.</w:t>
      </w:r>
    </w:p>
    <w:p>
      <w:r>
        <w:t>A. II. 1. Relevant Market Definition</w:t>
        <w:br/>
        <w:t>38. The supply of end-consuming large gas customers constitutes a separate relevant market in contrast to the supply of household and small business customers (HuK customers). This is evident in the current market situation from the fact that among the group of end consumers, commercial/industrial large customers are more likely to have the opportunity to switch suppliers. Since gas costs are a component of cost management, large customers tend to be more price-sensitive and correspondingly willing to switch. Accordingly, they often have professional negotiators in energy procurement. Due to their purchase volumes, they can establish a certain negotiating position. A number of large customers have now broken through the rigid supply relationships stemming from the demarcation period and have switched suppliers. This is sometimes done by establishing branch lines by the new supplier. This is not an option for HuK customers for economic reasons.</w:t>
      </w:r>
    </w:p>
    <w:p>
      <w:r>
        <w:t>While there are substitution relationships between the energy carriers gas, heating oil, coal, and – partially – electricity in the generation of process heat, space heating, and hot water preparation in both end customer markets, once the respective end users have decided on an energy carrier, they are bound for a significant period (10 to 15 years) and cannot switch to an alternative energy type without incurring substantial costs. Against this background, it is also necessary to focus exclusively on gas in the end consumer markets and thus also in the relevant large gas customer market.</w:t>
      </w:r>
    </w:p>
    <w:p>
      <w:r>
        <w:t>However, this only applies to those customers who do not have so-called bivalent or multivalent systems in which they can use other energy carriers besides gas without significant conversion costs. Such customers operate as demanders in a market that is to be defined differently (heat market).</w:t>
      </w:r>
    </w:p>
    <w:p>
      <w:r>
        <w:t>39. The market for supplying local municipal utilities by regional gas distributors is classified as a separate relevant market subordinate to the market for the initial supply of gas distributors by long-distance gas companies.</w:t>
      </w:r>
    </w:p>
    <w:p>
      <w:r>
        <w:t>A. II. 2. Spatial Market Definition</w:t>
        <w:br/>
        <w:t>40. In spatial terms, the gas end customer markets are also to be delineated locally/regional according to the distribution network of the gas supply company. In this respect, reference can be made to the explanations regarding spatial market delineation in the market for supplying distributors.</w:t>
      </w:r>
    </w:p>
    <w:p>
      <w:r>
        <w:t>A. II. 3. Market Dominance</w:t>
        <w:br/>
        <w:t>41. The E.ON group and participating companies that supply large gas customers and municipal utilities hold dominant positions in their respective regionally/local defined markets. Although they no longer have a legally secured exclusivity in these markets following the elimination of the closed supply areas created by demarcation agreements, the ownership of the supply lines, particularly good access to customers in their previously sole operational areas, and the very high market share resulting from the previous monopoly positions provide the companies there with at least a superior market position in the sense of § 19 Abs. 2 Sentence 1 Nr. 2 GWB. It cannot be assumed that these market positions will disappear within the forecast period of two to three years. According to the opinion of the decision-making department, it is excluded that based on the previous understanding</w:t>
      </w:r>
    </w:p>
    <w:p>
      <w:r>
        <w:rPr>
          <w:b/>
        </w:rPr>
        <w:t>[Pages 31–33]</w:t>
      </w:r>
    </w:p>
    <w:p>
      <w:r>
        <w:t>- 31 -</w:t>
        <w:br/>
        <w:t>between the involved associations (Gas Association Agreement and amendments) a significant competition between the existing gas suppliers and new gas providers will arise within the forecast period. The gas industry itself also points out that due to the peculiarities of natural gas (for example, long-term "take-or-pay" contracts, different gas qualities, and the lower interconnection of existing gas pipeline networks compared to the electricity sector), there are significantly more factual obstacles to overcome for the transmission of natural gas than for the transmission of electricity.</w:t>
        <w:br/>
        <w:t>A. II. 4. Strengthening of Dominant Market Positions</w:t>
        <w:br/>
        <w:t>42. The merger project will strengthen the respective dominant market positions of the mentioned E.ON group companies in their supply areas. Strengthening a dominant market position means changing the factors determining market power in such a way that the neutralizing effect of competition on the power in a specific market is restricted to an even greater extent through changes in market and company-related structures than was already the case before the merger (WuW/E BGH 2795, 3804 "Pinneberger Tageblatt"). The stronger the degree of already realized competition restrictions, the more sustainably the remaining competition must be protected (WuW/E BGH 1854, 1860 "Zeitungsmarkt München"). Due to the indirect capital connection resulting from the merger between E.ON and Ruhrgas, it is expected that Ruhrgas will permanently fall out as a potential competitor for large gas customers on the one hand and municipal utilities on the other in the area of the mentioned E.ON companies. Ruhrgas already supplies a significant number of large gas customers and municipal utilities located in gas supply areas of regional gas supply companies. Although these were usually historical supply relationships from the time of protected supply areas and customers through demarcations,</w:t>
      </w:r>
    </w:p>
    <w:p>
      <w:r>
        <w:t>- 32 -</w:t>
        <w:br/>
        <w:t>it is also to be expected in a slowly liberalizing gas market that Ruhrgas will increasingly strive to establish its own end-customer relationships. The first expression of such efforts is the recent acquisition of industrial large gas customers in Hamburg (supply area of the E.ON company Heingas) and in the city of Voerde. To the extent that E.ON argues that these cases are not exemplary, the reasons provided have not convinced the decision-making department. The increased effort by Ruhrgas to attract end-consuming large gas customers is further exemplified by a report from the Aachener Zeitung dated January 18, 2001, submitted by the intervening party Fortum (Exhibit S 7 of Fortum's brief dated January 7, 2002). There, a spokesperson for the Ruhrgas subsidiary "Ruhrgas direkt" is quoted as saying that the company is increasingly striving to attract larger gas end customers (from 20,000 m³ of gas per year) in the Aachen area and has contacted 200 such customers. The argument presented by E.ON that Ruhrgas does not acquire end customers in the contractual area of its downstream customers from the outset is likely only to be valid to the extent that Ruhrgas cannot achieve significantly better returns with direct sales. Ruhrgas itself has not presented such behavior. Such competitive actions for large gas customers in the supply areas of E.ON gas suppliers, but also for municipal utilities located there, are hardly to be expected anymore due to the consideration of a significant shareholder (after the acquisition of the majority in Gelsenberg). In addition to the consideration of a significant shareholder, such behavior also arises from the own interests of Ruhrgas following the merger. Own activities in the sales areas of E.ON group companies could jeopardize the opportunity arising from the merger to increase the utilization of the gas demand volume represented by the E.ON group and affiliated companies as a result of an expected alignment of these companies in gas procurement towards Ruhrgas (cf. Rz. 26).</w:t>
      </w:r>
    </w:p>
    <w:p>
      <w:r>
        <w:t>- 33 -</w:t>
        <w:br/>
        <w:t>The dampening or even complete elimination of potential competition by the superior domestic gas supplier strengthens the already existing dominant market positions of the mentioned E.ON group companies in a sustainable manner.</w:t>
        <w:br/>
        <w:t>B. Electricity</w:t>
        <w:br/>
        <w:t>43. The merger project also leads to the strengthening of dominant market positions that E.ON Energie, together with RWE Plus, holds in developing nationwide markets for the supply of industrial/commercial large electricity customers on the one hand and for the supply of downstream electricity supply companies (REVU and municipal utilities) on the other, as a result of gaining significant influence over the primary energy supplier Ruhrgas.</w:t>
        <w:br/>
        <w:t>B. I. Relevant Market Definition</w:t>
        <w:br/>
        <w:t>44. The sale of electricity in Germany is characterized by the vertical structure into supra-regional integrated companies, regional electricity supply companies, and local distribution companies (especially municipal utilities). Against this background, several relevant electricity markets must be delineated.</w:t>
        <w:br/>
        <w:t>45. At the lowest market level, electricity supply companies as suppliers of electricity face industrial, commercial, agricultural, and private end consumers. At the electricity end supply level, the supply of small customers (household, commercial, and agricultural customers) with a connection capacity of less than 30 kW and an annual electricity consumption of less than 30,000 kWh from the low-voltage networks and the supply of industrial special contract customers from the medium-voltage and higher network levels each form their own relevant market.</w:t>
      </w:r>
    </w:p>
    <w:p>
      <w:r>
        <w:rPr>
          <w:b/>
        </w:rPr>
        <w:t>[Pages 34–36]</w:t>
      </w:r>
    </w:p>
    <w:p>
      <w:r>
        <w:t>- 34 -</w:t>
        <w:br/>
        <w:t>There are significant differences between the demand behavior of commercial/industrial large electricity customers and small customers. Since electricity costs are a component of cost management, large electricity customers tend to be more price-sensitive and correspondingly more willing to switch than small customers, whose cost awareness regarding electricity consumption is less pronounced. In contrast to small customers, large electricity customers often have professional negotiators in energy procurement. Due to their larger purchase volumes, they have a better negotiating position. This is reflected in the different sales strategies that electricity supply companies pursue to acquire customers. While the price attractiveness of the offer is paramount for large electricity customers, the customer approach in the small customer segment also significantly focuses on the commercial differentiation of a homogeneous product. The significant price differences between the sales to large electricity customers and small customers, which do not appear to be fully justified by higher transmission costs (taking from the low-voltage level instead of from higher network levels) and lower purchase volumes, also support the assumption of factually separate markets. Finally, the fact that competition for small customers has only started much later than for large electricity customers indicates that there are no competitively relevant interactions between the market for supplying large electricity customers and the market for supplying small customers that would support the assumption of a unified market for supplying end consumers.</w:t>
        <w:br/>
        <w:t>46. The higher market level, the market for supplying electricity distributors, is further structured into the sub-markets of regional electricity distribution (BGH WuW/E DE-R 24, 27 and 32, 33 "Electricity Supply Aggertal" or "City Utilities Garbsen"), where regional electricity supply companies supply local supply companies with electricity (the supply usually occurs from the 20-110 kV level) and the market for supra-regional electricity distribution, where domestic electricity producers and electricity importers essentially face large distributors (regional supply companies and other electricity traders) (the supply usually occurs from the 380/220 kV networks). The two aforementioned product sub-markets for supplying electricity resellers merge at the moment when functional transmission competition opens the market and allows municipal utilities to freely choose their suppliers. If functional transmission competition is present, domestic electricity producers and electricity importers as suppliers face regional suppliers (REVUs), municipal utilities, and other electricity traders as demanders at this market level.</w:t>
        <w:br/>
        <w:t>47. However, according to the current understanding of the decision-making department, the sale of electricity to electricity traders and other affiliated companies can no longer be included in the classic market for supplying electricity distributors. In the context of investigations in a recently conducted merger control procedure, it has been convincingly argued by various parties – including the affiliated companies RWE and Bewag – that quantity information about "deliveries" to traders and other affiliated companies no longer has any significance. The trading business no longer only concerns the physical flow of energy; contracts are traded to a large extent, e.g., through electricity exchanges or internet marketplaces, whose physical fulfillment does not occur. In trading activities, contractual deliveries are aggregated multiple times into different trading contracts and traded multiple times among traders. This results in the traded volume exceeding the physical electricity quantities by a multiple. Although the degree of "virtual" trading in electricity among the affiliated companies involved in the investigations still varies, it is advisable to exclude the quantities of electricity sold that are designated as "physically traded" from the classic market for supplying distributors to avoid distortions in market share determination. The "new type" of electricity trading is likely to be considered a separate market in the future.</w:t>
        <w:br/>
        <w:t>B. II. Spatial Market Delimitation</w:t>
        <w:br/>
        <w:t>48. Spatially, the market for supplying large customers and distributors must be delineated nationwide due to the developments that have occurred following the liberalization of the electricity industry.</w:t>
        <w:br/>
        <w:t>B. III. Market Dominance</w:t>
        <w:br/>
        <w:t>49. RWE and E.ON form a dominant duopoly in both nationwide markets within the meaning of § 19 Abs. 2 Satz 2 GWB.</w:t>
        <w:br/>
        <w:t>50. Both companies hold approximately 65% of the domestic power generation capacities based on the domestic net power generation capacity of 102.2 GW in 2000 (VDEW Electricity Market Germany 2000) through their own power plants, shares in joint power plants, and long-term secured power plant services at approximately equal shares. They accounted for about 70% of the total domestic net electricity generation (excluding industrial self-generation) amounting to 468 TWh (VDEW, Electricity Market Germany 2000). In addition, RWE and E.ON control about 60% of the domestic high-voltage network (&gt; 220 kV), about 70% of the domestic high-voltage network (110 kV), and about 50% of the domestic medium-voltage network (1 – 60 kV) and low-voltage network (&lt; 1 kV). The lead of both companies in these structural data is glaring. The newly created corporate group HEW/VEAG/Bewag (each with about 17% share of the available net domestic capacity and domestic net electricity generation; about 30% share of the high-voltage network, otherwise under 10%) and EnBW (under 10% in all structural data) follow at a considerable distance.</w:t>
      </w:r>
    </w:p>
    <w:p>
      <w:r>
        <w:rPr>
          <w:b/>
        </w:rPr>
        <w:t>[Pages 37–39]</w:t>
      </w:r>
    </w:p>
    <w:p>
      <w:r>
        <w:t>- 37 -</w:t>
        <w:br/>
        <w:t>51. In the market for supplying large electricity customers, RWE and E.ON achieve a combined market share of 43.6% (RWE: xxx%, E.ON xxx%), when referring to the figures for the total domestic electricity supply from the public grid (excluding supply from industrial self-generation facilities) to "special contract customers" amounting to 296,000 GWh in the year 2000, as provided by the VDEW to the decision-making department. The market share lead of the duopoly over the next competitors, the new corporate group HEW/VEAG/Bewag with approximately 7% (VEAG has not yet been active in this sector) and EnBW with approximately 6% market share, is extremely large. This market share directly attributable to the two leading electricity suppliers only incompletely describes the significance that the duopoly has together in this market, as both companies hold approximately 150 minority stakes (over 10%) in electricity supply companies, which provide them with such significant influence over the competitive behavior of the companies that there is no substantial competition between the respective duopoly member and its affiliated companies. Investigations in the merger control procedure RWE/VEW have shown that in 1999, the market share of RWE-influenced companies was approximately xxx% and that of E.ON-influenced companies was approximately xxx%. Since January 1, 2000, both companies have acquired further stakes in regional/local energy supply companies (RWE: 5, E.ON: 35), whose aggregated sales to end-consuming large customers in the year 2000 account for approximately xxx% of the total market volume. The influenced market share of the duopoly currently stands at approximately 65%. Most of the affiliated companies, some of which also have significant generation capacities and/or are involved in joint power plants (also) with oligopoly members, operate in the traditional supply area of the respective oligopoly member. Their majority shareholders are municipalities, which are usually represented in the bodies of the company by political office holders (mayors, city councilors, etc.). The participation of the duopoly members in distributors and their representation in their bodies has, due to the special energy and business management expertise of RWE and E.ON, a significantly higher weight than is expressed in the level of the respective participation or the quantitative presence in the bodies of the company. The energy economic and business management know-how is largely contributed to the company by the respective group company. Between the two companies, there is usually a supply contract that covers the entire external procurement needs (or at least a part of it) of the REVU or municipal utility. Unless it can already be assumed based on the level of participation that the companies will mutually consider each other's interests and that the affiliated company will generally make its decisions with regard to the significant minority shareholder, there are rather low incentives for a supplier to compete with its affiliated company. This is because the supplier benefits from the fixed sales channel associated with this supply relationship. Moreover, municipal utilities and REVUs generally lack the necessary flexibility of (political) decision-making structures and the financial leeway required for substantial investments. The previously lacking energy economic know-how is difficult to acquire, as electricity trading and sales experts are currently extremely scarce in the labor market. Furthermore, the energy companies under review have such a large threat potential that competitive actions by their affiliated companies are generally not to be expected. E.ON or RWE can threaten direct supply to large electricity customers due to their financial and resource strength and refuse to adjust supply contracts. Thus, the affiliated companies strengthen the duopoly members in their respective core areas.</w:t>
        <w:br/>
        <w:t>52. In the market for supplying distributors (REVUs and municipal utilities; excluding supply to "traders" and other group companies, see above), E.ON and RWE, along with their corporate subsidiaries, have a combined market share of approximately 67% (RWE: approximately xxx%, E.ON: approximately xxx%), based on the total supply quantity of the electricity-generating and importing domestic group companies amounting to 179,000 GWh to REVUs and municipal utilities. The corporate group HEW/VEAG/Bewag follows with a market share of approximately 25%. EnBW achieves a market share of approximately 8%.</w:t>
        <w:br/>
        <w:t>53. In principle, oligopolistic parallel behavior in the electricity supply markets is significantly favored by the homogeneity and low innovation potential of the product electricity. Additionally, there is transparency regarding generation costs and selling prices. The generation costs, which determine the variable costs and thus significantly the offer prices, are well-known in the industry, as the energy sources are either procured at world market prices or known subsidized prices. The fixed cost-determining capital costs of power plant construction are also widely known. The network usage costs, which constitute a significant cost component when electricity is taken from medium and low voltage networks, will largely be easy to estimate. Finally, there is also considerable transparency regarding end customer prices. Electricity customers present price offers from competitors to achieve more favorable supply prices from a company. Thus, essentially only the administrative operating costs of an energy supply company can be classified as non-transparent.</w:t>
        <w:br/>
        <w:t>54. Against this background, a collective market dominance is to be assumed. RWE and E.ON form a largely symmetric duopoly in the electricity markets. This symmetry extends far beyond the closely aligned market shares. Because, in addition to market shares, a multitude of other factors creates significant interest alignments between E.ON and RWE. As vertically integrated electricity companies across all levels of the electricity industry, the two corporations exhibit very similar corporate structures. Compared to their competitors, who only achieve fragmented market shares, they provide</w:t>
      </w:r>
    </w:p>
    <w:p>
      <w:r>
        <w:rPr>
          <w:b/>
        </w:rPr>
        <w:t>[Pages 40–42]</w:t>
      </w:r>
    </w:p>
    <w:p>
      <w:r>
        <w:t>- 40 -</w:t>
        <w:br/>
        <w:t>RWE and E.ON have significant resource advantages (larger power plant portfolio, more extensive transmission networks, greater financial strength). They have preferential access to procurement markets (e.g., long-term supply contracts with power plant operators, access to favorable imports due to company-owned network coupling points) and preferential access to sales markets due to decades-old supplier relationships. Apart from EnBW, only the two duopolists maintain a dense distribution network in large parts of Germany.</w:t>
        <w:br/>
        <w:t>55. Furthermore, there are still interconnections between the oligopoly members that deepen their common interests and involve a diverse exchange of competition-relevant information, thereby increasing the likelihood of competition-restraining parallel behavior. In the area of electricity resellers, the members of the oligopoly are jointly involved in REVUs (including MEAG, Thüringer Energie AG, Erfurt (TEAG), Überlandwerk Unterfranken AG, Würzburg (ÜWU)) and in numerous municipal utilities, particularly in the new federal states. In addition, there are a number of interconnections between RWE and E.ON in the area of electricity generation. These joint power plants (GKW) include the nuclear power plants Grundremmingen and Emsland/Lingen, Bavarian hydropower plants, as well as the coal-fired power plants operated by STEAG AG, in which RWE and E.ON are involved, among others, through Ruhrkohle (Veba: 37.1%, VEW: 30.2%).</w:t>
        <w:br/>
        <w:t>These interconnections affect all levels of the electricity industry and directly relate to the relevant electricity markets in which E.ON and RWE hold a prominent position. Therefore, it cannot be expected that the oligopoly members will compete against each other to the detriment of their joint investment in the aforementioned companies.</w:t>
        <w:br/>
        <w:t>Moreover, the cooperation of the oligopoly members in the Deutsche Verbundgesellschaft (DVG), where they hold more weight against EnBW and HEW/VEAG/Bewag, provides an additional forum for formal and informal exchange on competition-relevant matters (load flows and supply streams domestically, exports and imports).</w:t>
        <w:br/>
        <w:t>Neither the large electricity customers nor the resellers are able to relativize the behavioral leeway of the dominant supplier group given their fragmented demand volume.</w:t>
        <w:br/>
        <w:t>56. Within the duopoly, there is no significant internal competition. Due to the largely consistent company-related structural characteristics of the duopoly members, product homogeneity, market transparency, low price elasticity of electricity demand, rather stagnant overall demand for electricity, and symmetrical market positions, price initiatives from one oligopoly member are not to be expected. They would also be easily recognizable and, due to the similar retaliation potential of the other oligopoly member, not very promising. In a situation where price initiatives from oligopoly members are equally noticeable, there is usually a lack of competition.</w:t>
        <w:br/>
        <w:t>The price reductions observed since the liberalization and some price competition between the market leaders do not contradict these expectations. The price reductions observed since the liberalization mainly reflect the efforts of the dominant suppliers to keep newcomers away from their traditional supply areas and to supply industrial large customers as well as purchasing cooperatives of municipal utilities that have consumption points in areas of different network operators and are now consolidating their electricity demand to achieve better prices and conditions. In this context, the integrated companies have significant room for price reductions, as the restructuring of the electricity industry, which was largely freed from efficiency considerations under monopoly conditions, offers considerable cost reduction potentials at all levels.</w:t>
        <w:br/>
        <w:t>Against this background, it can be assumed that the use of the central competition parameter price is not determined by competitive actions but results from oligopolistic parallel behavior. Even three years after the liberalization of the German electricity market, the integrated companies had only to accept minor sales losses in their traditional supply areas, as the investigations of the decision-making department revealed.</w:t>
        <w:br/>
        <w:t>57. The behavioral leeway of the oligopoly is not effectively limited by other companies active in the markets for supplying large electricity customers and electricity resellers.</w:t>
        <w:br/>
        <w:t>58. This is evident for the market for supplying end-consuming large electricity customers already from the fragmented market share behind the leading duopoly. In the reseller market, HEW/VEAG/Bewag and EnBW together represent a market share of 33%. However, it is crucial to consider that the relatively high market share of HEW/VEAG/Bewag (25%) cannot exert competitive force against the duopoly, as sales to resellers in the new federal states are delivered almost exclusively to regional supply companies owned by the duopoly members (RWE: Envia, MEAG; E.ON: e.dis, TEAG, partial deliveries to Avacon).</w:t>
        <w:br/>
        <w:t>59. The possibilities of external competition from HEW/VEAG/Bewag and EnBW against the duopoly are further dampened by connections in a number of joint power plants. Notably, the joint power plants Brunsbüttel, Brokdorf, Krümmel, and Stade, which HEW operates together with E.ON, significantly standardize the electricity generation costs for both companies.</w:t>
        <w:br/>
        <w:t>60. Against this background, the decision-making department assesses, contrary to its assessment in the context of the RWE/VEW proceedings in July 2000, that the ultimately created "new force" HEW/VEAG/Bewag is no longer considered a sufficient competitive factor limiting the dominant behavioral leeway of the duopoly.</w:t>
      </w:r>
    </w:p>
    <w:p>
      <w:r>
        <w:rPr>
          <w:b/>
        </w:rPr>
        <w:t>[Pages 43–45]</w:t>
      </w:r>
    </w:p>
    <w:p>
      <w:r>
        <w:t>- 43 -</w:t>
        <w:br/>
        <w:t>61. It is not expected that EnBW, even after the entry of EdF, will be able to effectively limit the behavioral leeway of the duopoly. A significant increase in its sales in both electricity markets would mean sales losses for other electricity supply companies due to stagnating electricity demand. As long as there are no other potent external competitors, the advancing competition from EdF/EnBW would primarily affect the duopoly members and provoke their defensive reactions. Even a resource-rich company like EdF/EnBW is unlikely to pursue a competitively risky offensive supply to the customers of the duopoly, given the retaliation potential of the leading duopoly. E.ON and RWE could concentrate their retaliatory measures heavily on this company.</w:t>
        <w:br/>
        <w:t>62. The numerous remaining competitors, in comparison to the integrated companies, are companies whose sales activities in the area of large customers and distributors are almost exclusively limited to their traditional, regionally or locally confined supply areas. The development opportunities of these companies are limited due to their financial and resource weaknesses, their high operating costs resulting from suboptimal operational size, and the non-competitive objectives of their typically municipal owners. Furthermore, they obtain most of their electricity from one of the oligopoly members or from companies intertwined with them. Therefore, there is currently no relevant competitive pressure from these companies on the oligopoly members, with whom they have maintained a largely unclouded climate of mutually respected supply areas for decades. The prices and conditions of the oligopoly members accordingly determine the leeway of this group of suppliers in the area of supplying large electricity customers and distributors, and not vice versa.</w:t>
        <w:br/>
        <w:t>63. Newly entered electricity traders, including foreign companies, have so far not gained significant importance as external competitors against the oligopoly. To the extent that they have managed to acquire large electricity customers, their market share is marginal. Almost all of these newly entered companies are largely dependent on supplies from the generation of the oligopoly members for electricity distribution. Additionally, the limited capacity of international network interconnections further restricts the possibility of resorting to electricity imports – if they are competitively priced and the newcomers cannot be confronted with the reciprocity clause of the transit request. Moreover, the fees demanded by the oligopoly members in their capacity as network operators represent a significant market entry barrier, which further increases the already high market entry barriers resulting from investments in establishing a distribution system and advertising costs. Furthermore, the American company Enron, previously considered the most resource-rich newcomer, has withdrawn from the German market due to internal financial difficulties. The Finnish energy group Fortum, also one of the foreign pioneers in the liberalized German electricity market, sees no competitive future in Germany in light of the superior resources of RWE and E.ON, according to a press release (Financial Times Deutschland from September 18, 2001).</w:t>
        <w:br/>
        <w:t>64. Finally, there are no potential competitors ready to neutralize the dominant market position of the oligopoly. To the extent that, for example, trading companies with extensive distribution structures and distribution know-how in other business areas penetrate the electricity markets, they are also largely dependent on the electricity supply from the oligopoly members.</w:t>
        <w:br/>
        <w:t>65. It should also be noted that vertical integration in the electricity industry is progressing rapidly in favor of the duopoly. Of the 60 acquisition purchases made by the domestic integrated companies since January 1, 2000, 40 alone are attributable to the duopoly.</w:t>
        <w:br/>
        <w:t>66. From today's perspective, the required overall assessment of the effects of the structural competitive conditions on the electricity markets, in the opinion of the decision-making department, indicates that there is no significant competition among the duopolists and towards the duopolists. The actual development of the electricity markets does not suggest the emergence of competition that would exclude the dominant position of the oligopoly.</w:t>
        <w:br/>
        <w:t>B. IV. Strengthening the dominant position of the duopoly</w:t>
        <w:br/>
        <w:t>67. The merger project strengthens the position of the dominant duopoly in the market for supplying industrial/commercial large electricity customers and electricity distributors. The duopoly member RWE already has a strong presence in the domestic gas market through its subsidiary RWE Gas and the gas import company Thyssengas, over which RWE Gas exerts a (co-)dominant influence. With the planned merger, the other duopoly member E.ON now gains a competitively significant influence over the by far most important domestic natural gas importer and supplier. Gas power plants using combined heat and power (GuD) technology are widely regarded as the most promising type of power plant for the future, given their lower investment costs compared to hard coal and lignite power plants, their higher environmental compatibility (more favorable CO2 emission values compared to other fossil fuels), and their better efficiency, particularly in the context of replacement investments in an existing domestic power plant fleet or when establishing additional power plant capacity in the medium load and upper base load range (see especially the recently submitted "Energy Report" of the Federal Ministry of Economics and Technology – as of October 2001 – pages 9, 14, 42 as well as pages 44 ff - there with reference to the scenarios of two studies commissioned by the BMWi -; see</w:t>
      </w:r>
    </w:p>
    <w:p>
      <w:r>
        <w:rPr>
          <w:b/>
        </w:rPr>
        <w:t>[Pages 46–48]</w:t>
      </w:r>
    </w:p>
    <w:p>
      <w:r>
        <w:t>- 46 -</w:t>
        <w:br/>
        <w:t>but also the Esso Energy Forecast 2001 submitted by the intervening party Wingas as well as the CERA Energy Study that was also submitted). With an adequate pricing structure for natural gas, future new investments in power plants would therefore primarily be made in combined heat and power (GuD) plants. This gives the dominant duopoly – as the only interregional gas supplier independent of electricity interests is Wingas – additional competitive leeway against the other established domestic electricity producers and especially against the independent power producers (IPP), who can supply and attract end-consuming large electricity customers and electricity distributors from such power plants using natural gas as primary energy. Thus, the price structure for power plant gas can be raised. This would primarily be at the expense of electricity competitors, as E.ON/Ruhrgas and RWE/Thyssengas are represented on both sides of the distribution business. On the other hand, however, IPPs that do not have their own gas pipeline network can be sustainably hindered in competition by a high level of transmission fees and complicated other transmission conditions. This strengthens the dominant position of the duopoly. It can remain open whether E.ON's statements in their letter of November 6, 2001, that there are currently overcapacities in the electricity generation sector, should be agreed upon. Replacement investments in the power plant fleet, especially as a result of already completed and expected further decommissioning of older coal-fired power plants, are expected by the end of this decade (see in this regard the statement submitted by the intervening party Enron with a letter dated November 28, 2001, from "frontier economics" referring to an EWI/Prognos study and other sources). The largest domestic power plant operator RWE also expects a need for power plant replacement "in the coming years" (see statement from the intervening party RWE dated December 5, 2001, p. 5/6). With a permitting and completion process for new large power plants from the investment decision of five to six years, such competition-relevant decision-making processes also fall well within the forecast period granted to the Bundeskartellamt. This is especially true because the modalities for the procurement of the gas required by a GuD power plant must regularly be contractually secured as an important component of a profitability calculation before the investment decision for a power plant is made. However, it can be assumed from E.ON's statements in their letter of November 6, 2000, that the establishment of power plant capacities using gas as primary energy for use in the upper base load and mid-load range, which is crucial for the supply of distributors and industrial large customers by IPPs, is currently not economically viable due to the current level of gas prices. The level of gas prices is currently significantly determined by the connection to the heating oil price. The intervening party Concord Power GmbH, which is currently in an advanced stage of the project to establish a GuD base load large power plant at the Lubmin site in partnership with the German electricity utility company EnBW, has stated that in negotiations already conducted with natural gas suppliers, the possibility is emerging to achieve a different indexing for power plant gas than the heating oil price linkage. In the negotiations, price adjustment mechanisms are being discussed that would have a direct reference to the target market of electricity generation. This is justified by the interest of natural gas producers to establish a foothold in the market segment "use of natural gas in power plants," which still shows growth potential. The decision-making department considers this argumentation to be plausible (see, for example, the report from Handelsblatt dated January 9, 2002, according to which "RWE and others" are now also offering tariffs that are not linked to the heating oil price). Another project that is also already in an advanced stage is the establishment of a 780 MW GuD power plant in the Chemiepark Knapsack, Hürth, by the Europe-wide active GuD power plant project developer and operator Inter Gen Ltd., London, a joint venture of the Dutch Shell and the US plant manufacturer Bechtel (see, for example, the report from Kölnische Rundschau dated May 9, 2001). It is therefore assumed that the self-interest of natural gas suppliers in expanding the use of natural gas in the power plant sector will lead to power plant gas prices being oriented in the medium term towards the costs of electricity generation, i.e., towards the prices achievable for electricity on the market. The use of natural gas in the power plant sector is also decisively promoted by the measure of the federal government to exempt highly efficient GuD plants with an efficiency of 57.5% from natural gas tax for five years. Although the current regulation only applies to GuD power plants that have commenced operation by December 31, 2003, and can therefore no longer be utilized by project developers due to the 5-6 year planning and investment phase of a GuD power plant, it can be assumed that current negotiations of the federal government with the EU Commission regarding a regulation to exempt investments in highly efficient GuD power plants from natural gas tax for ten years, provided they go online within 39 months after the publication of the new regulation, will be successfully concluded (see Energy Report of the BMWi, loc. cit., p. 27). However, if power plant gas can be obtained at adequate prices, there is also the chance that independent electricity producers will build competitive potential in the markets for supplying industrial/commercial large electricity customers and electricity resellers. However, since the supply of gas quantities required for the operation of GuD power plants or their transport from other gas suppliers on-site is hardly possible without the involvement of the dominant domestic gas service provider Ruhrgas, the greatest possible independence of Ruhrgas from the influence of established electricity producers is of utmost importance. The connection caused by the merger project between E.ON and Ruhrgas with the associated</w:t>
      </w:r>
    </w:p>
    <w:p>
      <w:r>
        <w:rPr>
          <w:b/>
        </w:rPr>
        <w:t>[Pages 49–51]</w:t>
      </w:r>
    </w:p>
    <w:p>
      <w:r>
        <w:t>- 49 -</w:t>
        <w:br/>
        <w:t>The influence possibilities resulting from the merger between E.ON and Ruhrgas would dampen the chance for this type of competition from the outset, trigger a discouragement effect among potential investors, and thereby strengthen the market-dominating position of the duopoly E.ON/RWE. This fundamentally applies to the external competitors facing the market-dominating duopoly (e.g., the "new power" HEW/VEAG/Bewag and EnBW). Their opportunity to develop effective external competition against the duopoly with combined heat and power plants is also diminished. In relation to Bewag, which as the only German integrated company already generates a significant amount of electricity from gas (currently about 25%), E.ON/Ruhrgas would already be granted significant behavioral leeway in gas pricing due to the merger project. This also weakens external competition against the market-dominating duopoly.</w:t>
        <w:br/>
        <w:t>68. If one were to disregard the opinion of the decision-making department and not assume the dominant market position of a duopoly formed by E.ON and RWE in the markets for supplying large electricity customers and distributors, the fact that after the merger only E.ON and RWE, but not external competition, primarily the new power HEW/VEAG/Bewag and EnBW, would have structurally secured access to the future primary energy gas would represent the final building block for the emergence of a market-dominating duopoly. Particularly, the largest external competitor of the duopoly, the new corporate unit HEW/VEAG/Bewag, with a company part (HEW) where replacement investments in power plants based on combined heat and power would be most expected with the expiration of the usability of the jointly operated nuclear power plants, and a company part (Bewag) that already uses gas to a significant extent as primary energy for its electricity generation, would be inherently restricted in its competitive opportunities against the duopoly. The same applies to EnBW.</w:t>
      </w:r>
    </w:p>
    <w:p>
      <w:r>
        <w:t>- 50 -</w:t>
        <w:br/>
        <w:t>C. Impact of the conditions offered by E.ON</w:t>
        <w:br/>
        <w:t>69. The conditions offered by E.ON to avoid a prohibition order are not suitable to eliminate or offset the strengthening of market-dominating positions in the gas and electricity markets caused by the merger. None of the identified strengthening effects in the gas and electricity sectors would be eliminated by the conditions. The commitments to improve transit competition are also limited to the E.ON group companies Schleswag, Heingas/HEW, Hansegas, and Avacon, which inherently have a very limited geographical scope. The first three of these conditions are already exhausted concerning Schleswag, Heingas/HGW, and Hansegas, as they were already part of the approval decision in a previous merger control procedure (E.ON/HGW, B 8 – 132/01). The contents of the offered transit conditions are partly already the subject of the Gas Association Agreement and its amendments or at least projected in them (e.g., storage access, load profiles for the supply of small gas customers, balancing). However, an individual assessment can be omitted, as transit conditions without the inclusion of the largest domestic gas company Ruhrgas are not sufficiently significant from the outset to compensate for the serious deterioration of competitive conditions in the gas markets resulting from the merger project. The divestiture of interests in Bayerngas, GASAG, and VNG offered by E.ON has little competitive impact, as Ruhrgas's interests in these companies (Bayerngas: 22%, GASAG: 11.95%, VNG: 36.8%) would remain. In particular, they are in no way suitable to mitigate or eliminate the sales-secure effect of the merger project for Ruhrgas. The offered conditions have no compensatory effects on the deterioration of competitive conditions in the electricity markets identified by the decision-making department.</w:t>
      </w:r>
    </w:p>
    <w:p>
      <w:r>
        <w:t>- 51 -</w:t>
        <w:br/>
        <w:t>A clearance of the notified merger project under the offered conditions was therefore not considered.</w:t>
        <w:br/>
        <w:t>D. No improvement of competitive conditions through the merger project</w:t>
        <w:br/>
        <w:t>70. The participating companies have not demonstrated that the merger would also lead to improvements in competitive conditions and that these improvements would outweigh the disadvantages of market dominance (§ 36 Abs. 1 Satz 1, 2. Halbsatz GWB). Such improvements in competitive conditions are also not recognizable.</w:t>
        <w:br/>
        <w:t>VI. Fees</w:t>
        <w:br/>
        <w:t>xxx</w:t>
        <w:br/>
        <w:t>VII. Legal remedy information</w:t>
        <w:br/>
        <w:t>An appeal against this decision is permissible. It must be submitted in writing within a period of one month starting from the delivery of the decision to the Bundeskartellamt, Kaiser-Friedrich-Str. 16, 53113 Bonn. However, it is sufficient if it is received within this period by the appellate court, the Higher Regional Court of Düsseldorf. The appeal must be substantiated. The deadline for the appeal substantiation is one month. It begins with the filing of the appeal and can be extended upon request by the presiding judge of the appellate court. The appeal substantiation must contain the statement of the extent to which the decision is contested and the request for its amendment or repeal, and specify the facts and evidence on which the appeal is based. The appeal and the appeal substantiation must be signed by a lawyer admitted to a German court.</w:t>
      </w:r>
    </w:p>
    <w:p>
      <w:r>
        <w:rPr>
          <w:b/>
        </w:rPr>
        <w:t>[Pages 52–52]</w:t>
      </w:r>
    </w:p>
    <w:p>
      <w:r>
        <w:t>- 52 -</w:t>
        <w:br/>
        <w:t>Vieth Appel Wieneke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