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http://www.bundeskartellamt.de/SharedDocs/Entscheidung/DE/Entscheidungen/Fusionskontrolle/2012/B8-116-11.pdf?__blob=publicationFile&amp;v=4</w:t>
      </w:r>
    </w:p>
    <w:p>
      <w:r>
        <w:t>Pages translated : 71</w:t>
      </w:r>
    </w:p>
    <w:p/>
    <w:p>
      <w:r>
        <w:rPr>
          <w:b/>
        </w:rPr>
        <w:t>[Pages 1–3]</w:t>
      </w:r>
    </w:p>
    <w:p>
      <w:r>
        <w:t xml:space="preserve">Merger Control Procedure  </w:t>
        <w:br/>
        <w:t xml:space="preserve">Decision pursuant to § 40 Abs. 2 GWB  </w:t>
        <w:br/>
        <w:t xml:space="preserve">- Public Version -  </w:t>
        <w:br/>
        <w:t xml:space="preserve">8. Decision Division  </w:t>
        <w:br/>
        <w:t xml:space="preserve">File Number: B 8 – 116/11  </w:t>
        <w:br/>
        <w:t xml:space="preserve">Decision  </w:t>
        <w:br/>
        <w:t xml:space="preserve">in the administrative procedure  </w:t>
        <w:br/>
        <w:t xml:space="preserve">1. Gazprom Germania GmbH  </w:t>
        <w:br/>
        <w:t xml:space="preserve">Markgrafenstraße 23  </w:t>
        <w:br/>
        <w:t xml:space="preserve">10117 Berlin  </w:t>
        <w:br/>
        <w:t xml:space="preserve">Authorized representatives:  </w:t>
        <w:br/>
        <w:t xml:space="preserve">Noerr LLP  </w:t>
        <w:br/>
        <w:t xml:space="preserve">Charlottenstraße 57  </w:t>
        <w:br/>
        <w:t xml:space="preserve">10117 Berlin  </w:t>
        <w:br/>
        <w:t xml:space="preserve">Participant 1,  </w:t>
        <w:br/>
        <w:t xml:space="preserve">2. Wintershall Holding GmbH  </w:t>
        <w:br/>
        <w:t xml:space="preserve">Friedrich-Ebert-Straße 160  </w:t>
        <w:br/>
        <w:t xml:space="preserve">34119 Kassel  </w:t>
        <w:br/>
        <w:t xml:space="preserve">Participant 2,  </w:t>
        <w:br/>
        <w:t xml:space="preserve">3. VNG Verbundnetz Gas AG  </w:t>
        <w:br/>
        <w:t xml:space="preserve">Braunstraße 7  </w:t>
        <w:br/>
        <w:t xml:space="preserve">04347 Leipzig  </w:t>
        <w:br/>
        <w:t xml:space="preserve">Participant 3,  </w:t>
        <w:br/>
        <w:t xml:space="preserve">4. E.ON AG  </w:t>
        <w:br/>
        <w:t xml:space="preserve">E.ON-Platz 1  </w:t>
        <w:br/>
        <w:t xml:space="preserve">40479 Düsseldorf  </w:t>
        <w:br/>
        <w:t xml:space="preserve">Intervenor 1,  </w:t>
        <w:br/>
        <w:t xml:space="preserve">5. EnBW Energie Baden-Württemberg AG  </w:t>
        <w:br/>
        <w:t xml:space="preserve">Durlacher Allee 93  </w:t>
        <w:br/>
        <w:t>76131 Karlsruhe</w:t>
      </w:r>
    </w:p>
    <w:p>
      <w:r>
        <w:t xml:space="preserve">- 2 -  </w:t>
        <w:br/>
        <w:t xml:space="preserve">Authorized representatives:  </w:t>
        <w:br/>
        <w:t xml:space="preserve">Oppenländer Rechtsanwälte  </w:t>
        <w:br/>
        <w:t xml:space="preserve">Börsenplatz 1  </w:t>
        <w:br/>
        <w:t xml:space="preserve">70174 Stuttgart  </w:t>
        <w:br/>
        <w:t xml:space="preserve">Intervenor 2,  </w:t>
        <w:br/>
        <w:t xml:space="preserve">6. RWE AG  </w:t>
        <w:br/>
        <w:t xml:space="preserve">Opernplatz 1  </w:t>
        <w:br/>
        <w:t xml:space="preserve">45128 Essen  </w:t>
        <w:br/>
        <w:t xml:space="preserve">Intervenor 3,  </w:t>
        <w:br/>
        <w:t xml:space="preserve">7. EWE AG  </w:t>
        <w:br/>
        <w:t xml:space="preserve">Tirpitzstraße 39  </w:t>
        <w:br/>
        <w:t xml:space="preserve">26122 Oldenburg  </w:t>
        <w:br/>
        <w:t xml:space="preserve">Intervenor 4,  </w:t>
        <w:br/>
        <w:t xml:space="preserve">8. VNG Verbundnetz Gas Verwaltungs- und Beteiligungsgesellschaft mbH  </w:t>
        <w:br/>
        <w:t xml:space="preserve">Magdeburger Allee 34  </w:t>
        <w:br/>
        <w:t xml:space="preserve">99086 Erfurt  </w:t>
        <w:br/>
        <w:t xml:space="preserve">Intervenor 5,  </w:t>
        <w:br/>
        <w:t xml:space="preserve">9. Thüga Aktiengesellschaft  </w:t>
        <w:br/>
        <w:t xml:space="preserve">Nymphenburger Straße 39  </w:t>
        <w:br/>
        <w:t xml:space="preserve">80335 München  </w:t>
        <w:br/>
        <w:t xml:space="preserve">Intervenor 6,  </w:t>
        <w:br/>
        <w:t xml:space="preserve">1  </w:t>
        <w:br/>
        <w:t xml:space="preserve">regarding the examination of a merger project notified pursuant to § 39 GWB, the  </w:t>
        <w:br/>
        <w:t xml:space="preserve">8. Decision Division of the Federal Cartel Office decided on January 31, 2012:  </w:t>
        <w:br/>
        <w:t xml:space="preserve">I. The merger project is approved pursuant to § 40 Abs. 2 GWB.  </w:t>
        <w:br/>
        <w:t xml:space="preserve">II. The fee for this decision is set at [...]. This amount will be credited against the separately determined fee of [...] for the notification of the merger. Both fees will be imposed on Participant 1 in accordance with § 80 Abs. 6 Sentence 1 No. 1 GWB.  </w:t>
        <w:br/>
        <w:t>1 Act against Restraints of Competition as published on July 15, 2005 (BGBl. I p. 2114 (2009 I p. 3850), last amended by Art. 13 Abs. 21 Act of May 25, 2009, BGBl. I p. 1102.</w:t>
      </w:r>
    </w:p>
    <w:p>
      <w:r>
        <w:t xml:space="preserve">- 3 -  </w:t>
        <w:br/>
        <w:t xml:space="preserve">Reasons  </w:t>
        <w:br/>
        <w:t xml:space="preserve">I. The Project  </w:t>
        <w:br/>
        <w:t xml:space="preserve">(1) Participant 1 (hereinafter: GPG) intends to lift the waiver of 1.88% of the voting rights and a supervisory board mandate at Participant 3 (hereinafter: VNG) and thereby increase its share in VNG to a total of 10.52%.  </w:t>
        <w:br/>
        <w:t xml:space="preserve">II. Procedural History  </w:t>
        <w:br/>
        <w:t xml:space="preserve">(2) In a letter dated December 22, 2009, GPG presented the project to the Decision Division, intending to acquire an additional 5.26% from EEG-Erdgas Transport GmbH (hereinafter: EEG), a subsidiary of the French gas group GDF Suez S.A. (hereinafter: GDF Suez), in addition to its existing stake of 5.26% in VNG. The shareholders of VNG at that time were EWE Aktiengesellschaft, Oldenburg (hereinafter: EWE) with 47.9%, VNG Verbundnetz Gas Verwaltungs- und Beteiligungsgesellschaft mbH, Erfurt (hereinafter: VUB) with 25.79%, Participant 2 (hereinafter: Wintershall) with 15.79%, GPG with 5.26%, and EEG with 5.26% of the shares.  </w:t>
        <w:br/>
        <w:t xml:space="preserve">(3) In a letter dated January 21, 2010, the Decision Division informed under file number B8-159/09 that the GPG project – increasing the stake in VNG from the current 5.26% by the shares held by EEG of 5.26% to a total of 10.52% – constitutes a notifiable merger within the meaning of § 37 Abs. 1 No. 4 GWB. For details, reference is made to the letter dated January 21, 2010, in the procedure B8-159/09.  </w:t>
        <w:br/>
        <w:t>(4) After GPG modified its project to avoid a formal merger control procedure by means of two-year limited commitments – waiver of 1.88% of the voting rights and a supervisory board mandate through a shareholder agreement with Wintershall with the participation of the other shareholders EWE and VUB – the Decision Division informed in a letter dated March 19, 2010, that it did not consider the project to constitute a notifiable merger within the meaning of § 37 GWB and pointed out that after the expiration of the two-year limited commitments or after the expiration of the contract, the question of the realization of a merger case within the meaning of § 37 Abs. 1 No. 4 GWB would automatically arise again.</w:t>
      </w:r>
    </w:p>
    <w:p>
      <w:r>
        <w:rPr>
          <w:b/>
        </w:rPr>
        <w:t>[Pages 4–6]</w:t>
      </w:r>
    </w:p>
    <w:p>
      <w:r>
        <w:t>- 4 -</w:t>
        <w:br/>
        <w:t>(5) By letter dated September 2, 2011, received by the Federal Cartel Office on the same day, the project was provisionally notified, as GPG does not intend to extend the commitments that were limited to two years and established in March 2010.</w:t>
        <w:br/>
        <w:t>(6) By letter dated September 19, 2011, the Decision Division initiated the main examination procedure. The initiation of the main examination procedure was announced in accordance with § 43 Abs. 1 GWB by publication on September 19, 2011, published in the Federal Gazette No. 148/11 of September 29, 2011 (p. 3420).</w:t>
        <w:br/>
        <w:t>(7) By letters dated September 16, 2011, September 20, 2011, and September 21, 2011, E.ON AG (hereinafter: E.ON), EnBW Energie Baden-Württemberg AG (hereinafter: EnBW), and RWE AG (hereinafter: RWE) applied for intervention in the proceedings in accordance with § 54 Abs. 2 Nr. 3 GWB. GPG and VNG had the opportunity to comment on these intervention requests. The intervention of the companies in the proceedings was granted by decision dated October 5, 2011. Reference is made to the intervention decision for details.</w:t>
        <w:br/>
        <w:t>(8) By letter dated October 7, 2011, EWE applied for intervention in the proceedings in accordance with § 54 Abs. 2 Nr. 3 GWB. GPG and VNG as well as the interveners 1 to 3 had the opportunity to comment on the intervention request. The intervention of the companies in the proceedings was granted by decision dated October 18, 2011. Reference is made to the intervention decision for details.</w:t>
        <w:br/>
        <w:t>(9) By letters dated October 19, 2011, and October 20, 2010, Thüga AG and VUB applied for intervention in the proceedings in accordance with § 54 Abs. 2 Nr. 3 GWB. GPG Wintershall and VNG as well as the interveners 1 to 4 had the opportunity to comment on the intervention request. The intervention of the companies in the proceedings was granted by decision dated November 10, 2011. Reference is made to the intervention decision for details.</w:t>
        <w:br/>
        <w:t>(10) By letter dated December 12, 2011, the representatives of the proceedings agreed to extend the examination period until January 31, 2012.</w:t>
        <w:br/>
        <w:t>(11) By letter dated January 12, 2012, the Decision Division provided the parties involved, the state cartel authorities of Berlin, Hesse, and Saxony, as well as the Federal Network Agency, with the opportunity to comment on the competitive assessment of the merger project.</w:t>
      </w:r>
    </w:p>
    <w:p>
      <w:r>
        <w:t>- 5 -</w:t>
        <w:br/>
        <w:t>(12) The representatives of Gazprom informed by letter dated January 25, 2012, that they would refrain from commenting. Wintershall and VNG each commented on the draft decision by letter dated January 25, 2012. Among the interveners, E.ON and RWE each commented on the draft decision by letter dated January 25, 2012. The representatives of EnBW informed by letter dated January 18, 2012, that no comments would be submitted. The Federal Network Agency commented on the draft decision by letter dated January 23, 2012. The state cartel authority of Saxony informed on January 24, 2012, that the intended decision posed no concerns. The state cartel authorities of Berlin and Hesse did not express any opinions. For further details, reference is made to the respective statements.</w:t>
        <w:br/>
        <w:t>III. The involved companies</w:t>
        <w:br/>
        <w:t>1. GPG</w:t>
        <w:br/>
        <w:t>(13) GPG is a 100% subsidiary of OOO Gazprom export (hereinafter: Gazprom export), Moscow, whose shares are 100% held by the parent company OAO Gazprom (hereinafter: Gazprom), Moscow. The former Russian state-owned company was transformed into a joint-stock company in 1993. The Russian Federation holds a 50.002% stake in Gazprom, 27.570% of the shares are held by the so-called ADR holders, and 22.428% of the shares are held by other registered persons and entities.</w:t>
        <w:br/>
        <w:t>(14) The core business of Gazprom and its affiliated companies (hereinafter: Gazprom Group) includes exploration, production, processing, transportation, storage, and trading of natural gas, liquefied natural gas, and gas condensate. In addition, Gazprom is also involved in the production and export of crude oil and in electricity generation in Russia.</w:t>
        <w:br/>
        <w:t>(15) In 2010, the Gazprom Group produced 508.6 billion cubic meters of natural gas, of which 262.1 billion cubic meters, corresponding to 52% of the annual production, was sold in Russia at an average price of €58.20 per 1,000 cubic meters, and 70.2 billion cubic meters, corresponding to 14% of the annual production, was sold in the former Soviet Union at an average price of €159.10 per 1,000 cubic meters. 148 billion cubic meters, corresponding to 29% of the annual production, were exported at an average price of €184 per 1,000 cubic meters to countries outside the former Soviet Union. Of this, 35.3 billion cubic meters went to Germany, 16 billion cubic meters to Turkey, 13.1 billion cubic meters to Italy, 11.8 billion cubic meters to Poland, 10.7 billion cubic meters to the United Kingdom, 9 billion cubic meters to the Czech Republic, 8.9 billion cubic meters to France, 6.9 billion cubic meters to Hungary, 5.8 billion cubic meters to Slovakia, 5.6 billion cubic meters to Austria, 4.8 billion cubic meters to Finland, 4.3 billion to the Netherlands, 2.6 billion cubic meters to Romania, 2.3 billion cubic meters to Bulgaria, 2.1 billion cubic meters each to Greece and Serbia, 1.1 billion cubic meters to Croatia, 0.5 billion cubic meters each to Belgium and Slovenia, 0.2 billion cubic meters to Bosnia and Herzegovina, and 0.1 billion cubic meters to Macedonia.</w:t>
        <w:br/>
        <w:t>(16) The Gazprom Group owns a natural gas transportation system in Russia with a length of 161,700 kilometers (Unified Gas Supply System, hereinafter: UGSS), which includes natural gas production, processing, transportation, storage, and redistribution. Natural gas produced in Russia is fed into the long-distance pipelines of the UGSS and further transported through 215 compression stations. In 2010, a total of 661.2 billion cubic meters of natural gas - 508.6 billion cubic meters from Gazprom's own production and 152.6 billion cubic meters from the production of independent and Central Asian producers - was fed into the UGSS. The UGSS has 25 underground storage facilities with a total capacity of 65.4 billion cubic meters. Through a redistribution network, in 2010, 218,200 regional and local energy supply companies, 19,700 industrial customers, and 26,900,000 households in Russia were supplied with natural gas.</w:t>
        <w:br/>
        <w:t>(17) Gazprom export is responsible within the Gazprom Group for the export of natural gas to Europe. According to Article 2 Paragraph 1 of the Law of the Russian Federation No. 117-FZ of July 18, 2006, "gas exports are carried out through international contracts of the Russian...</w:t>
      </w:r>
    </w:p>
    <w:p>
      <w:r>
        <w:rPr>
          <w:b/>
        </w:rPr>
        <w:t>[Pages 7–9]</w:t>
      </w:r>
    </w:p>
    <w:p>
      <w:r>
        <w:t>- 7 -</w:t>
        <w:br/>
        <w:t>"the Russian Federation, this law, other laws, and other legal regulations of the Russian Federation are legally regulated." According to Article 3 of this law, an owner (company) of the unified gas supply system or one of its 100% subsidiaries receives the exclusive right for gas transport. The law of the Russian Federation No. 117-FZ of July 18, 2006 defines in Article 1 paragraph 1 "the foundations for state regulation of natural gas exports based on the necessity to protect the economic interests of the Russian Federation, to comply with international obligations for gas exports, to secure revenues for the state budget, and to maintain the fuel and energy balance of the Russian Federation." According to Article 1 paragraph 2, this law applies "with respect to gas extracted from all types of hydrocarbon deposits and transported in gaseous or liquid form."</w:t>
      </w:r>
    </w:p>
    <w:p>
      <w:r>
        <w:t>(18) For the pipeline transport of natural gas to Central, Western, and Southern Europe, the so-called South Route (Russia, Ukraine, Slovakia with branches to the south and west) and the so-called North Route (Russia, Belarus, Poland to Germany) are available. Supply occurs based on long-term supply contracts, which, according to Gazprom, are mostly concluded based on corresponding government agreements. Gazprom's most significant customers in Germany are E.ON, Wintershall Erdgas Handelshaus GmbH &amp; Co. KG (hereinafter: WIEH), and WINGAS GmbH &amp; Co. KG (hereinafter: WINGAS); in France, GDF Suez; in Italy, ENI Gas and Power S.p.A (hereinafter: ENI); in the Netherlands, N.V. Nederlandse Gasunie (hereinafter: Gasunie) and GasTerra B.V. (hereinafter: GasTerra); and in Austria, OMV AG.</w:t>
      </w:r>
    </w:p>
    <w:p>
      <w:r>
        <w:t>(19) The Gazprom Group achieved worldwide total sales of 3,661.7 billion RR (approximately €80 billion) in 2010. Of this, the total sales from natural gas amounted to €53.6 billion in 2010, of which €15.2 billion was from natural gas sales in Russia, €11.1 billion from natural gas sales in the states of the former Soviet Union, and €27.2 billion from natural gas sales in states outside the former Soviet Union.</w:t>
      </w:r>
    </w:p>
    <w:p>
      <w:r>
        <w:t>(20) GPG primarily performs holding functions for equity financing and equity management within the Gazprom Group; GPG is not involved in the sale of natural gas in Germany. Subsidiaries and joint ventures conduct the operational business. The 100% GPG subsidiary Gazprom Marketing &amp; Trading Ltd. operates in the United Kingdom, Belgium, the Netherlands, France, and the USA. The 100% subsidiary Gazprom Schweiz AG markets natural gas in Eastern Europe.</w:t>
      </w:r>
    </w:p>
    <w:p>
      <w:r>
        <w:t>(21) Furthermore, GPG holds a 50% stake in WIEH and Wintershall Erdgas Handelshaus Zug AG, Zug, Switzerland (hereinafter: WIEE), as well as a 49.98% stake in the jointly controlled WINGAS and WINGAS Transport GmbH (hereinafter: WINGAS TRANSPORT). The remaining shares are held by Wintershall Erdgas Beteiligungs GmbH, a 100% subsidiary of Wintershall. The participation of GPG and Wintershall Erdgas Beteiligungs GmbH in WIEH and WINGAS Transport is indirect. Wintershall, in turn, is indirectly a 100% subsidiary of BASF SE (hereinafter: BASF).</w:t>
      </w:r>
    </w:p>
    <w:p>
      <w:r>
        <w:t>(22) WIEH primarily purchases Russian natural gas from Gazprom export. Major customers include WINGAS and VNG. WIEE is responsible for the sales business in Southeast Europe, supplying customers in Romania and Bulgaria with natural gas and also developing the infrastructure in the Southeast European markets further. WINGAS supplies municipal utilities, regional gas suppliers, industrial enterprises, and power plants in Germany and abroad with natural gas and is engaged in natural gas trading, natural gas procurement, and the operation of gas pipelines and storage facilities. WINGAS TRANSPORT operates a long-distance pipeline network of approximately 2,300 kilometers.</w:t>
      </w:r>
    </w:p>
    <w:p>
      <w:r>
        <w:t>(23) The historical basis for the cooperation between Gazprom and BASF, the largest industrial gas consumer in Germany, is the "Contract on Gas Economic Cooperation" concluded in 1990, which was supplemented by two amendment contracts from 1993 and 1995. [...] Through this cooperation, Gazprom gained direct access to the German natural gas market in 1990. In return, BASF was able to establish the basis for an economically attractive business area and secure its gas supply competitively.</w:t>
      </w:r>
    </w:p>
    <w:p>
      <w:r>
        <w:t>(24) With WINGAS, WIEH, and WIEE, investment companies for gas trading in Germany and Europe have been established, through which Gazprom and Wintershall/BASF have been operating in the market for 20 years. The natural gas pipeline network has now been transferred to WINGAS TRANSPORT. In this regard, the funds invested in the expansion of the natural gas trading business of WINGAS and WINGAS TRANSPORT now amount to more than three billion euros.</w:t>
      </w:r>
    </w:p>
    <w:p>
      <w:r>
        <w:t>(25) Gazprom and Wintershall/BASF also collaborate on projects aimed at expanding available capacities for the pipeline transport of natural gas to Central, Western, and Southern Europe. Both companies are involved in the Baltic Sea Pipeline Nord Stream. The Nord Stream Pipeline, which has already been commissioned and is otherwise nearing completion, runs from Vyborg/Russia (Gulf of Finland) through the Baltic Sea to Lubmin (near Greifswald) and is intended to transport Russian gas to Northern and Central Europe. The shareholders of Nord Stream AG are Gazprom with 51%, Wintershall and E.ON Ruhrgas with 15.5% each, Gasunie and GDF Suez with 9% each. After full commissioning in 2012, the two pipeline strands will be able to transport up to 55 billion cubic meters of gas annually. WINGAS takes over the further transport of Russian gas through its subsidiary OPAL NEL TRANSPORT GmbH, which constructs the connecting long-distance pipelines OPAL (Baltic Sea Pipeline Connection Line) and NEL (North European Natural Gas Pipeline). Other partners are involved as fractional owners in the connecting pipelines OPAL and NEL. Through these connecting lines, Nord Stream is connected to the existing European natural gas pipeline system. While the 480-kilometer OPAL runs from the landing point of Nord Stream in Lubmin near Greifswald to the south into the Czech Republic, the 440-kilometer pipeline route of the NEL runs from Mecklenburg-Vorpommern to Lower Saxony. OPAL has an annual transport capacity of 36 billion cubic meters, NEL of approximately 20 billion cubic meters of natural gas.</w:t>
      </w:r>
    </w:p>
    <w:p>
      <w:r>
        <w:t>(26) The South Stream project, on the other hand, aims to create pipeline capacities for the transport of Russian gas to Southeast and Southern Europe. The South Stream project...</w:t>
      </w:r>
    </w:p>
    <w:p>
      <w:r>
        <w:rPr>
          <w:b/>
        </w:rPr>
        <w:t>[Pages 10–12]</w:t>
      </w:r>
    </w:p>
    <w:p>
      <w:r>
        <w:t>- 10 -</w:t>
        <w:br/>
        <w:t>includes the expansion of the Russian gas pipeline network to the Black Sea (Beregovya/Region Anapa on the Russian Black Sea coast), the South Stream Offshore Pipeline (continuation of the gas pipeline underwater through the Black Sea), as well as the South Stream Onshore Pipeline (land-based continuation of the offshore pipeline from the Bulgarian or Romanian Black Sea coast to the border of Hungary/Austria and/or Italy; no direct connection to Germany). The shareholders of South Stream AG will be Gazprom with 50%, ENI with 20%, and EDF International SAS and Wintershall each with 15%. South Stream AG is only responsible for the construction of the offshore section of the pipeline.</w:t>
      </w:r>
    </w:p>
    <w:p>
      <w:r>
        <w:t>(27) Gazprom and Wintershall/BASF are also jointly active in the production of natural gas. In 2003, they established the parity joint venture ZAO Achimgaz, which is expected to produce a total of 200 billion cubic meters of natural gas over 40 years from what was then the largest natural gas field in Russia. Wintershall was the first German company to produce natural gas directly in Siberia. Achimgaz commenced natural gas production in 2008.</w:t>
      </w:r>
    </w:p>
    <w:p>
      <w:r>
        <w:t>(28) Furthermore, Wintershall holds a 25% stake in OAO Severneftegazprom (hereinafter: SNG), E.ON Ruhrgas E&amp;P GmbH also holds 25%, and Gazprom holds the remaining 50%. SNG holds the production license for the Yushno Russkoye gas field in West Siberia. The Yushno Russkoye field has recoverable reserves of more than 600 billion cubic meters and is three times larger than the field operated by Achimgaz.</w:t>
      </w:r>
    </w:p>
    <w:p>
      <w:r>
        <w:t>(29) The cooperation in production is not limited to Russia. Wintershall AG, Kassel, is active in exploration and production in Libya. The current shareholders of Wintershall AG are 51% Wintershall and 49% Gazprom Libya Verwaltungs GmbH.</w:t>
      </w:r>
    </w:p>
    <w:p>
      <w:r>
        <w:t>(30) In their external presentation, the corporate groups also emphasize their strategic partnership, which extends not only to a long-standing collaboration but also to joint future projects. On the homepage of Wintershall, the Chairman of the Board of Wintershall, Dr. Rainer Seele, honors the partnership with Gazprom, which has existed since 1990, with the following words: "Our partnership with the world's largest natural gas producer is unique – it ranges from the exploration and production of natural gas in West Siberia to the transport through the Nord Stream to the redistribution via the gas pipeline network in Germany and in other countries of Europe."</w:t>
      </w:r>
    </w:p>
    <w:p>
      <w:r>
        <w:t>2. Wintershall</w:t>
        <w:br/>
        <w:t>(31) Wintershall is part of BASF, which operates in the fields of chemicals, plastics and performance products, crop protection products, fine chemicals, as well as oil and gas. The group achieved worldwide total sales of €63.87 billion in 2010.</w:t>
      </w:r>
    </w:p>
    <w:p>
      <w:r>
        <w:t>(32) BASF's oil and gas activities are consolidated in Wintershall and its subsidiaries (hereinafter: Wintershall Group). The Wintershall Group is engaged in the exploration and production of crude oil and natural gas in Europe (Germany, Netherlands, Norway, United Kingdom, Denmark), North Africa (Libya, Mauritania), South America (Argentina), in the Middle East (Qatar, United Arab Emirates), and in Russia and the Caspian Sea region.</w:t>
      </w:r>
    </w:p>
    <w:p>
      <w:r>
        <w:t>(33) Through several joint ventures, the Wintershall Group operates, as a second business field, in the trading, transport, and storage of natural gas jointly with Gazprom. The largest of these joint ventures is WINGAS, which supplies municipal utilities, regional gas suppliers, industrial enterprises, and power plants in Germany and abroad with natural gas. In addition, the company is involved in natural gas trading, natural gas procurement, and the operation of gas pipelines and storage facilities.</w:t>
      </w:r>
    </w:p>
    <w:p>
      <w:r>
        <w:t>(34) WINGAS primarily meets its needs based on long-term supply contracts. In 2010, approximately 50% of the quantities procured came directly or indirectly via WIEH from Gazprom. WINGAS sold a total of 323 TWh of natural gas in 2010, of which 184 TWh was in Germany.</w:t>
      </w:r>
    </w:p>
    <w:p>
      <w:r>
        <w:t>(35) The largest long-distance pipelines of WINGAS TRANSPORT are: JAGAL (Jamal Gas Connection Pipeline) and STEGAL (Saxony-Thuringia Natural Gas Pipeline), both of which are responsible for the transport of Russian natural gas in central Germany. MIDAL (Central Germany Connection Pipeline) runs through Germany from north to south and forms the core of the pipeline system. WEDAL (West Germany Connection Pipeline) supplies the Federal Republic with British North Sea gas, and through the connection with MIDAL also with Russian natural gas.</w:t>
      </w:r>
    </w:p>
    <w:p>
      <w:r>
        <w:t>(36) The WINGAS storage facility in northern Germany, Rehden, is the largest in Western Europe with a working gas capacity of more than four billion cubic meters. It accounts for about one-fifth of the total storage capacity available in Germany. Together with the crude oil exploration company (hereinafter: RAG) and Gazprom export, WINGAS commissioned the second-largest natural gas storage facility in Central Europe in Haidach, Austria, on July 1, 2007. In the Haidach storage facility, more than 2.6 billion cubic meters of working gas volume can be provided in the second expansion stage. The storage volume is primarily utilized by Gazprom export and WINGAS. Due to its proximity to the German-Austrian border crossing point Burghausen, the Haidach storage facility is connected to the long-distance pipeline network in Germany and can thus be used for seasonal balancing in Germany, but also in Austria. Furthermore, the Jemgum storage facility is being developed in northern Germany, which will have a capacity of up to 1.2 billion cubic meters. The commissioning of the first caverns is planned for 2013.</w:t>
      </w:r>
    </w:p>
    <w:p>
      <w:r>
        <w:t>3. VNG</w:t>
        <w:br/>
        <w:t>(37) VNG is the comprehensive long-distance gas company in the new federal states. Its main activities include the import, trading, transport, and storage of natural gas as well as related services. In addition, VNG is also active in natural gas production in Norway and Denmark.</w:t>
      </w:r>
    </w:p>
    <w:p>
      <w:r>
        <w:t>(38) In 2010, VNG procured a total of 213.9 TWh of natural gas from a variety of suppliers. VNG sources Russian natural gas from WIEH. Natural gas from Norwegian sources is supplied by Statoil ASA, TOTAL E&amp;P NORGE AS, Eni Norge AS, and ExxonMobil Exploration and Production Norway AS. German gas suppliers include ExxonMobil Gas Marketing Deutschland GmbH &amp; Co. KG, ExxonMobil Gas Marketing GmbH (hereinafter collectively referred to as: ExxonMobil Gas Marketing Deutschland), and Shell Erdgas Marketing GmbH.</w:t>
      </w:r>
    </w:p>
    <w:p>
      <w:r>
        <w:rPr>
          <w:b/>
        </w:rPr>
        <w:t>[Pages 13–15]</w:t>
      </w:r>
    </w:p>
    <w:p>
      <w:r>
        <w:t>- 13 -</w:t>
        <w:br/>
        <w:t>Marketing GmbH &amp; Co. KG (hereinafter: Shell Erdgas Marketing Deutschland).46 These deliveries are made on the basis of long-term natural gas supply contracts, with VNG now pursuing an increasingly diversified sourcing strategy. While in 2005, 45% of VNG's natural gas supplies came from Russia, 27% from Norway, and 28% from Germany, VNG covered its gas needs in 2010 through long-term gas supply contracts with 32% from Russia, 19% from Germany, and 18% from Norwegian sources; 31% of VNG's gas supply in 2010 was covered on the European spot and futures markets.47</w:t>
      </w:r>
    </w:p>
    <w:p>
      <w:r>
        <w:t>(39) VNG owns a gas pipeline network with a length of more than 7,000 kilometers. The four underground gas storage facilities of VNG located in Bad Lauchstädt, Bernburg, Buchholz, and Kirchheiligen have storage capacities of 2.56 billion cubic meters.48 The long-distance gas pipeline network of VNG is operated by its subsidiary ONTRAS VNG Gastransport GmbH (hereinafter: ONTRAS). The network area of ONTRAS includes the federal states of Saxony, Saxony-Anhalt, Thuringia, Brandenburg, Berlin, and Mecklenburg-Vorpommern. The networks of the network operators ONTRAS, WINGAS TRANSPORT, DONG Energy Pipelines GmbH, Gasunie Deutschland Transport Services GmbH, and StatoiHydro Deutschland GmbH were merged into a unified market area "GASPOOL" as of October 1, 2009. As of October 1, 2011, GASPOOL and Aequamus combined their market areas. The new market area GASPOOL is operated by GASPOOL Balancing Services GmbH, a joint venture of DONG Energy Pipelines GmbH, Erdgas Münster Transport GmbH &amp; Co. KG, EWE NETZ GmbH, Gasunie Deutschland Transport Services GmbH, WINGAS TRANSPORT, and ONTRAS,49 and connects approximately 400 gas networks.</w:t>
      </w:r>
    </w:p>
    <w:p>
      <w:r>
        <w:t>(40) As a long-distance gas company, VNG primarily supplies distributors and end-consuming industrial customers (including power plants) and sold a total of 220 TWh of natural gas in 2010, of which 192 TWh was in the domestic market (87%).50</w:t>
      </w:r>
    </w:p>
    <w:p>
      <w:r>
        <w:t>(41) VNG has a number of stakes in regional supply companies in East Germany, specifically 25.1% in EMB Erdgas Mark Brandenburg GmbH, Potsdam, 24.60% in MITGAS Mitteldeutsche Gasversorgung GmbH, Halle, as well as municipal utilities, namely 23.38% in Stadt- und Überlandwerke GmbH Luckau-Lübbenau, Luckau, 15.10% in Versorgungsbetriebe Hoyerswerda GmbH, Hoyerswerda, and 12.55% in Stadtwerke Rostock AG, Rostock.51 Furthermore, VNG is also active in gas markets in Poland, the Czech Republic, the Slovak Republic, Austria, Switzerland, and Italy through subsidiaries and affiliated companies.</w:t>
      </w:r>
    </w:p>
    <w:p>
      <w:r>
        <w:t>(42) VNG generated total sales revenues of €6.3 billion worldwide in the fiscal year 2010.52</w:t>
      </w:r>
    </w:p>
    <w:p>
      <w:r>
        <w:t>IV. Scope of Application of the GWB</w:t>
        <w:br/>
        <w:t>(43) The merger project is subject to control under German law. The revenue thresholds of § 35 GWB are exceeded. The project does not fall within the scope of European merger control due to the lack of control acquisition.</w:t>
      </w:r>
    </w:p>
    <w:p>
      <w:r>
        <w:t>V. Merger Criteria</w:t>
        <w:br/>
        <w:t>1. Development of the Ownership and Control Relationships at VNG</w:t>
        <w:br/>
        <w:t>(44) VNG was founded in 1990 as a private joint-stock company. In a first step, the Treuhandgesellschaft sold 35% of the shares to Ruhrgas AG (hereinafter: Ruhrgas), Essen, and 10% of the shares to BEB Erdgas und Erdöl GmbH (hereinafter: BEB), a parity subsidiary of Shell and Esso. At that time, BEB held a 25% stake in Ruhrgas.53</w:t>
      </w:r>
    </w:p>
    <w:p>
      <w:r>
        <w:t>(45) When Ruhrgas was integrated into the E.ON group, the Federal Ministry of Economics linked the ministerial approval of September 18, 2002, with the condition that E.ON had to divest its own and Ruhrgas's stake in VNG. At that time, Ruhrgas held an indirect stake of 36.84% in VNG, and E.ON was also indirectly involved with a share of 5.26% of the equity. Other shareholders of VNG at that time included Wintershall Erdgas Beteiligungs-GmbH (15.79%), which acted as a trustee for eight municipal utilities and local authorities, VUB (15.79%), BEB (10.53%), STATOIL ASA (5.26%), EEG (5.26%), and ZGG Zarubezhgaz-Erdgashandel-Gesellschaft mbH (5.26%).55</w:t>
      </w:r>
    </w:p>
    <w:p>
      <w:r>
        <w:t>(46) The largest part of the Ruhrgas stake in VNG was taken over by EWE, which achieved a total stake of 47.89%. The East German municipalities involved in VNG, whose shares are bundled in VUB, were also allowed to increase their existing stakes in VNG from the Ruhrgas package to a total of 25.79%. Initially, VNG was jointly controlled by EWE and VUB based on the consortium agreement concluded between both shareholders on December 8, 2003.56 Due to the consortium agreement, various personnel interconnections existed between EWE and VNG until 2007. The CEO of EWE, Dr. Brinker, was also the chairman of the supervisory board of VNG, while the then CEO of VNG, Prof. Dr. Holst, was also a member of the board of EWE, and a board member of EWE, Mr. Harms, was also a member of the board of VNG.</w:t>
      </w:r>
    </w:p>
    <w:p>
      <w:r>
        <w:t>(47) However, in May 2007, there was an open scandal between EWE and other shareholders of VNG, as a result of which Dr. Brinker lost the chairmanship of the supervisory board of VNG to a representative of the BASF subsidiary Wintershall, Dr. Heuchert. As a further consequence of this dispute, Prof. Dr. Holst also resigned from his board mandate at EWE in May 2007, and in August 2007, Mr. Harms resigned from his board mandate at VNG. Since then, EWE has no longer listed VNG as a consolidated57 but as an associated58 company in its business reports.</w:t>
      </w:r>
    </w:p>
    <w:p>
      <w:r>
        <w:t>(48) With EWE's planned acquisition of the 1.04% stake of Stadtwerke Jena–Pößneck GmbH (hereinafter: Stadtwerke Jena-Pößneck), which was a shareholder of VUB, the power struggle that had erupted with the removal of Dr. Brinker as chairman of the supervisory board of VNG entered a new round. Stadtwerke Jena-Pößneck had terminated the VUB consortium agreement as of December 31, 2008, and wanted to sell its stake to EWE as of January 1, 2009. Stadtwerke Halle GmbH (hereinafter: Stadtwerke Halle), which was a shareholder of VUB with a stake of 3.66%, also announced in September 2008 that it wanted to leave VUB by the end of the year. With the acquisition of this stake, EWE would have achieved a stake of 52.6% and thus a majority in VNG. The remaining VUB shareholders would have already...</w:t>
      </w:r>
    </w:p>
    <w:p>
      <w:r>
        <w:rPr>
          <w:b/>
        </w:rPr>
        <w:t>[Pages 16–18]</w:t>
      </w:r>
    </w:p>
    <w:p>
      <w:r>
        <w:t>- 16 -</w:t>
        <w:br/>
        <w:t>the exit of Stadtwerke Jena-Pößneck resulted in the loss of their blocking minority in VNG. Therefore, they filed a lawsuit against the sale. In November 2008, the District Court of Gera ruled in favor of the lawsuit brought by the East German municipal utilities, which asserted a right of first refusal based on the VUB consortium agreement regarding the share in VNG held by Stadtwerke Jena-Pößneck. The judgment also applied mutatis mutandis to the intended sale of the stake in VNG by Stadtwerke Halle. The contract between EWE and Stadtwerke Jena-Pößneck for the sale of the stake was rescinded, and the share of Stadtwerke Jena-Pößneck in VUB was sold, allowing them to retain their blocking minority. The 3.66% stake of Stadtwerke Halle was also acquired by VUB or some of its shareholders.</w:t>
      </w:r>
    </w:p>
    <w:p>
      <w:r>
        <w:t>(49) On September 2, 2008, VUB extraordinarily terminated the consortium agreement with EWE. EWE filed a declaratory action against the termination of the consortium agreement, asserting that the consortium agreement remained in effect. The arbitration proceedings regarding this matter were subsequently decided in favor of VUB, as it was deemed unreasonable to expect VUB to adhere to the consortium agreement.</w:t>
      </w:r>
    </w:p>
    <w:p>
      <w:r>
        <w:t>(50) After EWE failed in a two-year power struggle to obtain the majority of shares and thus the operational leadership of VNG, which had originally been granted to it through the consortium agreement with VUB, EWE decided to sell its stake in VNG to EnBW. The project, registered with the Federal Cartel Office on May 15, 2009, and approved with conditions by decision on August 24, 2009, to acquire a 47.89% stake in the share capital of VNG, has not yet been implemented. On December 15, 2011, an extraordinary general meeting of VNG was to decide whether to approve the transfer of the 47.89% of shares held by EWE in VNG to EnBW. Approval was not granted.</w:t>
      </w:r>
    </w:p>
    <w:p>
      <w:r>
        <w:t>2. Acquisition of a competitively significant influence at VNG by GPG and Wintershall</w:t>
        <w:br/>
        <w:t>(51) Based on the circumstances described above, it can be assumed that VNG cannot currently be regarded as jointly controlled by EWE and VUB. The intention of GPG to lift the waiver of 1.88% of the voting rights and the waiver of a supervisory board mandate at VNG, thereby increasing its stake in VNG to a total of 10.52%, constitutes a connection through which one or more companies can exert a competitively significant influence on VNG.</w:t>
      </w:r>
    </w:p>
    <w:p>
      <w:r>
        <w:t>(52) The merger control provision of § 37 Abs. 1 Nr. 4 GWB is intended to capture corporate connections mediated by corporate law that are not already covered by the merger control provisions of § 37 Abs. 1 Nr. 1 to 3 GWB and that lead to a significant restriction of competition between the participating companies, such that they can no longer operate independently in the market. The assessment is made through a comprehensive consideration. This takes into account not only the amount of the acquired stake but also the presence of other circumstances, such as the granting of appointment rights to the bodies of the company, as well as the entrepreneurial interest in the stake and, in this context, the economic relationships between the acquirer and the investee company, particularly a competitive, supplier, or customer relationship.</w:t>
      </w:r>
    </w:p>
    <w:p>
      <w:r>
        <w:t>(53) The three prerequisites for acquiring a competitively significant influence – the possibility of exerting influence, the corporate law anchoring, and the competition reference – are present.</w:t>
        <w:br/>
        <w:t>a) Possibility of exerting influence</w:t>
        <w:br/>
        <w:t>(54) For the existence of a competitively significant influence within the meaning of § 37 Abs. 1 Nr. 4 GWB, it is not necessary for the influence to actually be exercised. In the interest of effective competition protection, the mere possibility of exerting influence is sufficient. The assessment of whether such a possibility of influence exists is to be made based on the overall circumstances of the acquisition process, taking into account the specific circumstances involved.</w:t>
      </w:r>
    </w:p>
    <w:p>
      <w:r>
        <w:t>(55) By increasing its stake in VNG to 10.52% through the lifting of the waiver of 1.88% of the voting rights and a supervisory board mandate, GPG acquires the possibility to influence the behavior of VNG jointly with Wintershall. The law explicitly provides that competitively significant influence can be exercised by "one or more" companies. This legal interpretation corresponds to the previous practice of the Federal Cartel Office.</w:t>
      </w:r>
    </w:p>
    <w:p>
      <w:r>
        <w:t>(56) A joint competitively significant influence can be established through a lasting alignment of interests among the shareholders that ensures a common corporate policy. The Federal Court of Justice has pointed out in the decision "Transportbeton Sauerland" that the typical alignment of interests among shareholders of a partnership is not sufficient on its own. However, there is an alignment of interests between Gazprom and Wintershall that is not limited to a successful participation in VNG but, as detailed in paragraphs 23 to 30, encompasses a strategic partnership in the gas sector spanning more than twenty years, associated with significant joint investments, mutual dependencies, and joint future projects in the areas of gas distribution, pipeline construction, and gas production.</w:t>
      </w:r>
    </w:p>
    <w:p>
      <w:r>
        <w:t>(57) Beyond the participation rights arising from the stakes themselves, namely the possibility to participate in votes at the shareholders' meeting, GPG and Wintershall have the following additional factors:</w:t>
        <w:br/>
        <w:t>(58) [...] The supervisory board consists of [...] members, of which [...] are appointed by the shareholders and [...] are provided by employee representatives. [...] EWE holds [...] supervisory board seats with 47.9% of the shares, and VUB holds [...] supervisory board seats with 25.79% of the shares. The following distribution of supervisory board seats results:</w:t>
        <w:br/>
        <w:t>In total [...]</w:t>
        <w:br/>
        <w:t>Of which employee representatives [...]</w:t>
        <w:br/>
        <w:t>Of which EWE [...]</w:t>
        <w:br/>
        <w:t>Of which VUB [...]</w:t>
        <w:br/>
        <w:t>Of which Wintershall [...]</w:t>
      </w:r>
    </w:p>
    <w:p>
      <w:r>
        <w:rPr>
          <w:b/>
        </w:rPr>
        <w:t>[Pages 19–21]</w:t>
      </w:r>
    </w:p>
    <w:p>
      <w:r>
        <w:t>- 19 -</w:t>
        <w:br/>
        <w:t>Thereof Gazprom [...]</w:t>
        <w:br/>
        <w:t>Thereof determined by the general meeting [...]</w:t>
        <w:br/>
        <w:t>(59) The BGH has explicitly emphasized in the decision Deutsche Post/trans-o-flex66 that it is crucial for the question of influence whether the minority shareholder has been granted secured influence over the composition of the supervisory board. Together, GPG and Wintershall hold [...] supervisory board seats after the merger.</w:t>
        <w:br/>
        <w:t>(60) Through the coordinated exercise of voting rights from their holdings, GPG and Wintershall also jointly achieve a blocking minority of 25%. Wintershall has already been able to occupy prominent positions in VNG. Dr. Rainer Seele, a member of the board of Wintershall since 2002 and its chairman since October 2009, has been the chairman of the supervisory board of VNG since September 2009. Before him, Dr. Karsten Heuchert, also a former board member of Wintershall, held the chairmanship of the supervisory board since mid-2007. Mr. Dr. Heuchert has since succeeded Mr. Prof. Dr. Holst as chairman of the board of VNG.</w:t>
        <w:br/>
        <w:t>(61) The blocking minority of GPG and Wintershall according to § 8 No. 5 of the articles of association of VNG and § 103 Abs. 1 AktG would prevent the chairman of the supervisory board of VNG, Mr. Dr. Seele, from being removed from the supervisory board against the will of Gazprom/Wintershall. This structurally secures Wintershall's position in the bodies of VNG.</w:t>
        <w:br/>
        <w:t>b) Corporate Law Mediation</w:t>
        <w:br/>
        <w:t>(62) The GPG's plan to revoke the waiver of 1.88% of the voting rights and the waiver of a supervisory board mandate at VNG, thereby increasing its share in VNG to a total of 10.52%, leads to a corporate law-mediated corporate connection within the meaning of § 37 Abs. 1 No. 4 GWB. The legislator aimed with this provision to distinguish corporate connections based on a corporate law participation from mere contractual agreements. This requirement is met here for both GPG and Wintershall. The specific amount of the acquired share and the associated rights are not relevant in this regard.</w:t>
        <w:br/>
        <w:t>66 BGH, decision of December 21, 2004, KVR 26/03</w:t>
      </w:r>
    </w:p>
    <w:p>
      <w:r>
        <w:t>- 20 -</w:t>
        <w:br/>
        <w:t>c) Competition Significance</w:t>
        <w:br/>
        <w:t>(63) The influence of GPG and Wintershall on VNG also has the necessary competition relevance. The parties are active as current and potential competitors in several relevant markets, both substantively and geographically. Possible restrictions of such horizontal competitive relationships through minority stakes in competitors, which are associated with competitively significant influence, should be subjected to the provisions of § 37 Abs. 1 No. 4 GWB for merger control67.</w:t>
        <w:br/>
        <w:t>(64) Competition significance is the influence that enables the participating company to assert its own competitive interests when deciding on the use of the resources of the other company. GPG and Wintershall, through their participation as shareholders of VNG, are informed about all strategic and business decisions and objectives of VNG. Both companies can influence that the decisions to be made are also in their interest.</w:t>
        <w:br/>
        <w:t>VI. Competitive Assessment</w:t>
        <w:br/>
        <w:t>(65) The merger project affects the exploration, production, and sale of natural gas, as both Gazprom and Wintershall as well as VNG are active in natural gas production. Due to the jointly competitively significant influence that GPG and Wintershall obtain through the present merger at VNG, it can no longer be assumed that VNG and the WINGAS jointly controlled by GPG and Wintershall operate independently in the market. Therefore, the project also affects the supply of distributors by supra-regional natural gas companies on the one hand and the supply of metered end consumers by supra-regional natural gas companies on the other hand. Finally, the merger also has an impact on underground natural gas storage in a nationwide delineation, as both WINGAS and GPG as well as VNG operate underground natural gas storage facilities. However, no horizontal or vertical effects that would lead to a prohibition of competition under § 36 Abs. 1 GWB are expected from the planned merger.</w:t>
        <w:br/>
        <w:t>67</w:t>
        <w:br/>
        <w:t>See Government Explanation, BT-Drucks. 11/4610, p. 13 and 19</w:t>
      </w:r>
    </w:p>
    <w:p>
      <w:r>
        <w:t>- 21 -</w:t>
        <w:br/>
        <w:t>1. Exploration, Production, and Sale of Natural Gas</w:t>
        <w:br/>
        <w:t>a) Substantive Market Definition</w:t>
        <w:br/>
        <w:t>(66) Natural gas refers to combustible natural gases that occur naturally in the earth or emerge at the surface, comprising gases of different chemical compositions. As far as natural gas is used as an energy carrier, conventional natural gas has so far played the predominant role. Conventional natural gas, also known as free gas or oil gas, often occurs in the same deposits as crude oil. The most important producing countries are the United States and Russia, followed by Canada, Iran, Norway, Qatar, China, and Algeria68.</w:t>
        <w:br/>
        <w:t>(67) In addition to conventional deposits, so-called unconventional natural gases are playing an increasingly important role. These are deposits that could generally not be extracted using classical extraction techniques and were therefore not considered commercially viable. However, new drilling technologies have led to the fact that extraction has become economically feasible in some cases today. Unconventional natural gases include, among others, so-called tight gas, which is stored in the rock pores of dense limestone and sandstone, as well as shale gas (shale gas) found in clay or shale rock69.</w:t>
        <w:br/>
        <w:t>(68) The exploration of natural gas deposits includes the establishment of infrastructure for future production in a new natural gas field. The production that is initiated, i.e., the exploitation of the natural gas deposit, is referred to as production and sale70.</w:t>
        <w:br/>
        <w:t>(69) Natural gas is predominantly transported via pipelines. Supply requires significant investments in appropriate transport infrastructure. In addition, natural gas can also be transported in the form of LNG, liquefied natural gas71, via sea routes in special tankers. At the destination port, the LNG is vaporized in special LNG terminals and fed into natural gas pipeline systems. The supply of LNG also requires significant investments, as liquefaction facilities must be established in the exporting countries and LNG terminals with vaporization facilities must be built in the importing countries.</w:t>
        <w:br/>
        <w:t>68</w:t>
        <w:br/>
        <w:t>See BGR, Reserves, Resources, and Availability of Energy Raw Materials 2010, Tables 15 and 16</w:t>
        <w:br/>
        <w:t>69</w:t>
        <w:br/>
        <w:t>See BGR, Reserves, Resources, and Availability of Energy Raw Materials 2010, p. 78</w:t>
        <w:br/>
        <w:t>70</w:t>
        <w:br/>
        <w:t>Commission decision of September 29, 1999, COMP./M.1383 EXXON/MOBIL, para. 10</w:t>
        <w:br/>
        <w:t>71</w:t>
        <w:br/>
        <w:t>LNG (liquefied natural gas): natural gas liquefied for transport purposes at -162°C</w:t>
      </w:r>
    </w:p>
    <w:p>
      <w:r>
        <w:rPr>
          <w:b/>
        </w:rPr>
        <w:t>[Pages 22–24]</w:t>
      </w:r>
    </w:p>
    <w:p>
      <w:r>
        <w:t>- 22 -</w:t>
        <w:br/>
        <w:t>(70) Demanders of natural gas are supra-regional natural gas companies, such as E.ON Ruhrgas in Germany, GDF Suez in France, GasTerra in the Netherlands, and ENI in Italy. They are also the relevant importers in their respective member states, purchasing natural gas from gas producers and reselling it in the territory of the respective member state. Natural gas deliveries are based on long-term supply contracts, which bind producers and purchasers to each other. The extensive long-term supply contracts with producers from Russia, Norway, the Netherlands, the United Kingdom, and Algeria traditionally form the backbone of European natural gas supply.72</w:t>
        <w:br/>
        <w:t>b) Spatial Market Definition</w:t>
        <w:br/>
        <w:t>(71) The transport conditions described in paragraph 69 have led to the formation of four supra-regional natural gas supply zones. These include Europe with the main exporters Russia, North Africa, Norway, and the Netherlands, the NAFTA countries, Asia and the Pacific Basin, characterized by the large distances of the main consumers (Japan, South Korea, Taiwan) to the supplying countries (essentially Indonesia, Malaysia, Brunei, and the Arab Gulf states) and dominated by the trade in LNG, as well as Latin America.73</w:t>
        <w:br/>
        <w:t>(72) The EU Commission has addressed the spatial dimension of the market for exploration, production, and sale of natural gas in a series of decisions, initially determining that the relevant spatial market for exploration, production, and sale of natural gas from the perspective of demanders likely includes the European Economic Area (hereinafter: EEA) as well as supply from Algeria and Russia. However, the exact spatial market definition was left open in each case.74</w:t>
        <w:br/>
        <w:t>(73) In the case COMP/M. 4545 Statoil/Hydro, a merger of two Norwegian natural gas and oil companies, the EU Commission also examined the effects of the merger for exploration, production, and sale of natural gas with respect to those member states supplied with natural gas by the merger parties. In this specific case, these were Belgium, the Czech Republic, France, the Netherlands, and Germany.75 The Commission's further decisions regarding Denmark and Italy also examined national wholesale markets where gas producers and gas importers operate.76</w:t>
        <w:br/>
        <w:t>(74) In the letter of the EU Commission dated June 12, 2009, based on Article 22(4) subparagraph 3 of Directive 2003/55, to the Federal Network Agency regarding the exemption for the OPAL gas pipeline according to Article 22 of Directive 2003/55, the EU Commission states regarding a spatially limited market to the Czech Republic under paragraph 64 that if certain factors (e.g., bottlenecks in the available infrastructure, lack of LNG terminals, or quality and cost differences of the gas) do not allow suppliers to switch across Europe without significant obstacles, the relevant geographical market must be defined more narrowly and possibly limited to the territory of a member state.77</w:t>
        <w:br/>
        <w:t>(75) For national markets, the different legal and technical framework conditions such as regulation of gas markets in the member states and application by the respective regulatory authorities, flow direction of the gas, restrictions at border crossing points, existing connections to pipelines and LNG terminals speak in favor of a national market. The market conditions in Germany, for example, are not comparable to those in Spain or Portugal or with those in Eastern European countries.</w:t>
        <w:br/>
        <w:t>(76) The decision-making department is therefore of the opinion that the previously mentioned points support a national market for exploration, production, and sale of natural gas limited to Germany. Nevertheless, the market conditions should also be analyzed within the framework of the competitive assessment in the context of an EEA-wide market for exploration, production, and sale of natural gas.</w:t>
        <w:br/>
        <w:t>(77) In its statement on the draft decision dated January 25, 2012, E.ON emphasized that from the perspective of the importing natural gas companies, natural gas of different origins cannot be substituted arbitrarily not only due to the different gas qualities but also because of existing transport restrictions. This supports, according to common merger control practice, defining the German upstream market "network-related" by country of origin, that is, along the import pipelines. For the planned merger project, the competitive conditions in an upstream market for the import of H-gas from Russia to Germany are relevant.</w:t>
        <w:br/>
        <w:t>(78) The decision-making department cannot agree with this assessment. According to the investigations of the decision-making department, the supra-regional natural gas companies source natural gas from several production companies both domestically and abroad. These sources typically include both L-gas and H-gas, as both types of gas are used in Germany. The traditional long-term gas supply business is based on contracts negotiated in bilateral negotiations between buyer and seller. It is assumed that supra-regional natural gas companies cannot replace any of their supplying production companies, whether domestic, Dutch, Norwegian, or Russian production, in the short term. Therefore, from the perspective of demanders, the overall procurement portfolio is crucial for gas sourcing. This includes L-gas and H-gas as well as natural gas from domestic and foreign production equally. Although the H-gas and L-gas networks in Germany are still separated at present, making physical transport of converted H-gas into an L-gas area (e.g., the former Aequamus area) impossible,78 the integration of the L-gas networks into the existing market areas NetConnect Germany and GASPOOL allows for at least virtual substitution of the different gas qualities. The virtual conversion of natural gas into another quality occurs through the balancing of the inflows and outflows of H-gas and L-gas and only affects their balance. Physical imbalances in the L- and H-gas areas are balanced through the use of balancing energy. Since the market area manager incurs increased costs due to the virtual conversion of the various gas qualities, they have been provisionally mandated by the Federal Network Agency to charge a conversion fee.79 This conversion fee is to be set according to the guidelines of the Federal Network Agency so that only the costs of conversion are covered. Since cross-quality trading is not fundamentally prohibited...</w:t>
      </w:r>
    </w:p>
    <w:p>
      <w:r>
        <w:rPr>
          <w:b/>
        </w:rPr>
        <w:t>[Pages 25–27]</w:t>
      </w:r>
    </w:p>
    <w:p>
      <w:r>
        <w:t>- 25 -</w:t>
        <w:br/>
        <w:t>the conversion fee must not exceed the difference in trading prices of L-gas and H-gas. The conversion fee must also not exceed the difference in prices for balancing energy between L-gas and H-gas, in order to avoid providing incentives for balancing energy providers to artificially inflate the balances of the L-gas and H-gas areas through conversions.80. On this basis, the Bundeskartellamt has assumed a uniformly relevant market for L-gas and H-gas in the downstream market of supplying distributors by supra-regional natural gas companies in this decision, which is delineated nationwide (see paragraphs 140 ff.). This new market delineation is also welcomed by E.ON. This supports the argument that no separate markets for H-gas and L-gas should be delineated at the upstream import level.</w:t>
      </w:r>
    </w:p>
    <w:p>
      <w:r>
        <w:t>c) No creation or strengthening of a dominant market position</w:t>
        <w:br/>
        <w:t>aa) Exploration, production, and sale of natural gas - EEA</w:t>
        <w:br/>
        <w:t>(79) The EEA-wide market for exploration, production, and sale of natural gas includes, on the supply side, the production from the 27 EU member states, particularly the Netherlands, Denmark, the United Kingdom, and Germany, the production from Norway, Russian natural gas exports to the EEA, and gas exports from Algerian natural gas production to the EEA.</w:t>
      </w:r>
    </w:p>
    <w:p>
      <w:r>
        <w:t>(80) According to EUROGAS, the natural gas supply in the EEA from 2008 to 2010 was essentially composed as follows:</w:t>
        <w:br/>
        <w:t>EU 27 Russia Norway Algeria Others</w:t>
        <w:br/>
        <w:t>200881 39% 25% 18% 10% 8%</w:t>
        <w:br/>
        <w:t>200982 36% 23% 20% 10% 11%</w:t>
        <w:br/>
        <w:t>201083 35% 22% 19% 9% 15%</w:t>
        <w:br/>
        <w:t>80 ibid., see also Decision Chamber 7 of the BNetzA, Position Paper on the Determination of a Conversion Fee System dated May 29, 2011, available at</w:t>
        <w:br/>
        <w:t>http://www.bundesnetzagentur.de/DE/DieBundesnetzagentur/Beschlusskammern/1BK-Geschaeftszeichen-Datenbank/BK7-GZ/2011/2011_001bis100/BK7-11 002_BKV/</w:t>
        <w:br/>
        <w:t>Eckpunktepapie_Konvertierungsentgelts_dld.pdf?__blob=publicationFile</w:t>
        <w:br/>
        <w:t>81</w:t>
        <w:br/>
        <w:t>http://www.eurogas.org/uploaded/09P142%20-%20Press%20release%20on%20Evolution%20of</w:t>
        <w:br/>
        <w:t>%20Gas%20Consumption%202008.pdf</w:t>
        <w:br/>
        <w:t>82</w:t>
        <w:br/>
        <w:t>Eurogas: Statistical Report 2010, page 8</w:t>
      </w:r>
    </w:p>
    <w:p>
      <w:r>
        <w:t>- 26 -</w:t>
        <w:br/>
        <w:t>(81) In assessing this distribution, it should be noted that the share of Russian natural gas in the EEA is an average value. This consists of member states for which Russian natural gas supplies are the only source of imports, those for which Russian natural gas is one of several import sources, as is the case for Germany, France, and Italy, and those that do not import any Russian natural gas from Gazprom, such as Spain and Portugal. These considerations also apply equally to Algerian and Norwegian natural gas.</w:t>
      </w:r>
    </w:p>
    <w:p>
      <w:r>
        <w:t>(82) The merger leads to minor overlaps in the EEA-wide market for exploration, production, and sale of natural gas between Gazprom, Wintershall, and VNG. Gazprom's exports to the EEA amounted to [ ] billion cubic meters in 2008, [ ] billion cubic meters in 2009, and [ ] billion cubic meters in 2010, according to the investigations of the Bundeskartellamt. Wintershall is active in natural gas production through subsidiaries, particularly in the German, Norwegian, and Dutch North Sea. The production amounted to [ ] billion cubic meters in 2008, [ ] billion cubic meters in 2009, and [ ] billion cubic meters in 2010, leading to a minor overlap. VNG is active in natural gas production through subsidiaries in Norway and Denmark. However, the development of the fields and the commercial exploitation of the deposits are still in their early stages. The production amounted to [ ] billion cubic meters in 2009 and [ ] billion cubic meters in 2010, leading to a minor overlap of significantly less than 0.1%. The combined share of the three companies was below 30% from 2008 to 2010.</w:t>
      </w:r>
    </w:p>
    <w:p>
      <w:r>
        <w:t>(83) On the supply side, in addition to the parties involved, there are several other companies that produce and/or sell natural gas in the EEA. These include, among others, oil companies engaged worldwide in the exploration, development, and production of oil and natural gas such as Chevron, Shell, ExxonMobil, BP, ConocoPhilips, Total, and ENI, the state-owned Algerian natural gas producer Sonatrach, the majority state-owned Norwegian oil and gas producer Statoil ASA, the state-owned Danish natural gas and oil producer DONG Naturgas A/S (hereinafter: DONG), GDF Suez, which is active in natural gas production in Germany, the Netherlands, Norway, and the United Kingdom, E.ON, which sells natural gas in the United Kingdom and Norway, and RWE Dea AG (hereinafter: RWE Dea), which produces natural gas in Germany, Norway, and the United Kingdom.</w:t>
      </w:r>
    </w:p>
    <w:p>
      <w:r>
        <w:t>83</w:t>
        <w:br/>
        <w:t>Eurogas: Statistical Report 2011, page 8</w:t>
      </w:r>
    </w:p>
    <w:p>
      <w:r>
        <w:t>- 27 -</w:t>
        <w:br/>
        <w:t>(84) ExxonMobil and Shell each hold a 50% stake in Nederlandse Aardolie Maatschappij (hereinafter: NAM), the largest gas producer in the Netherlands with an annual production of 50 billion cubic meters. 70% of the extracted gas comes from the Groningen gas field discovered by NAM in 1959, while the remaining 30% comes from smaller fields on the mainland and in the North Sea. After the discovery of the large Groningen gas field, the then shareholders of NAM and the Dutch government founded Gasunie, in which the Dutch government held a 50% stake and the shareholders of NAM each held a 25% stake, which was entrusted with the marketing of the gas extracted in the Groningen area. With the liberalization of the Dutch gas market, the gas distribution business was transferred from Gasunie to the newly established GasTerra, while Gasunie remained responsible for gas transport.</w:t>
      </w:r>
    </w:p>
    <w:p>
      <w:r>
        <w:t>(85) Philips Petroleum Company, now ConocoPhilips, discovered the first North Sea oil in the Ekofisk field in the Norwegian sector during exploratory drilling in 1969. In 1972, based on a resolution of the Norwegian Parliament, the state-owned oil and gas company Statoil was established to represent the interests of the Norwegian state and its population in oil and gas production. Currently, the Norwegian state's stake is 70.9%. Statoil markets not only the oil and natural gas from its own production but also oil and natural gas from Petero AS, a company owned by the Norwegian state.85 Although the control of the Norwegian state over Norwegian oil and gas production has never been relinquished, Norway has allowed the participation of foreign companies in the extraction of oil and gas. Through subsidiaries, multinational corporations such as Shell, ExxonMobil, ConocoPhilips, Total, and ENI are involved in the production and sale of Norwegian natural gas. GDF Suez, E.ON, and RWE Dea are also active in Norwegian natural gas production.</w:t>
      </w:r>
    </w:p>
    <w:p>
      <w:r>
        <w:t>(86) DONG is a Danish state-owned company founded in 1972, whose business area includes exploration, production, offshore transport, and sale of oil and natural gas, as well as storage and distribution of natural gas. Natural gas is produced on the Danish continental shelf by the joint venture Dansk Undergrunds Consortium (hereinafter: DUC), in which A.P. Moller – Maersk A.S. holds 46%, Shell Olie- og Gasudvinding Danmark B.V. holds 39%, and ChevronTexaco Denmark Inc holds 15%, which has the sole concession.</w:t>
      </w:r>
    </w:p>
    <w:p>
      <w:r>
        <w:rPr>
          <w:b/>
        </w:rPr>
        <w:t>[Pages 28–30]</w:t>
      </w:r>
    </w:p>
    <w:p>
      <w:r>
        <w:t>- 28 -</w:t>
        <w:br/>
        <w:t xml:space="preserve">90% of the natural gas produced by DUC is sold to DONG based on several long-term purchase agreements.86  </w:t>
        <w:br/>
        <w:t xml:space="preserve">(87) Sonatrach (Société Nationale pour la Recherche, la Production, le Transport, la Transformation, et la Commercialisation des Hydrocarbures s.p.a.) is an Algerian state-owned company focused on the exploration, transport, processing, and marketing of oil and gas. Sonatrach supplies natural gas via pipelines to Italy, Spain, and Portugal, and LNG to France, Spain, Belgium, Italy, Greece, and the United Kingdom.  </w:t>
        <w:br/>
        <w:t xml:space="preserve">(88) In the past ten years, additional LNG terminals with corresponding regasification facilities have been established in the EEA, specifically in the Netherlands, Great Britain, northern France, northern Spain, and Portugal. The new capacities enable a significantly higher share of the natural gas demand in the EEA to be met through LNG imports from more distant producing countries.  </w:t>
        <w:br/>
        <w:t xml:space="preserve">(89) In 2009, LNG imports in the EEA increased significantly. In particular, Qatar was able to record a substantial increase in its LNG exports to the EEA. Qatar's share of all LNG imports was 25% in 2009,87 and measured against the total natural gas volume in the EEA in 2010, it accounted for 6%.88  </w:t>
        <w:br/>
        <w:t xml:space="preserve">bb) Exploration, production, and marketing of natural gas in Germany  </w:t>
        <w:br/>
        <w:t xml:space="preserve">(1) Market structure and market shares  </w:t>
        <w:br/>
        <w:t xml:space="preserve">(90) A market for exploration, production, and marketing limited to the territory of Germany includes, on the supply side, domestic natural gas production as well as natural gas produced by foreign producers and sold to natural gas import companies operating at the import level in Germany, minus transit quantities, i.e., those gas quantities that are delivered through Germany to other member states. The buyers are the supra-regional natural gas companies E.ON, WINGAS/WIEH, RWE, VNG, ExxonMobil Gas Marketing Deutschland, and Shell Erdgas Marketing Deutschland, as well as Erdgas-Verkaufs GmbH, Münster (hereinafter: EGM). These companies source natural gas from domestic and foreign production and market it in Germany.86  </w:t>
        <w:br/>
        <w:t xml:space="preserve">(91) Total natural gas production in Germany amounted to 12.6 billion cubic meters in 2010, 14.4 billion cubic meters in 2009, and 15.5 billion cubic meters in 2008.90 The companies involved in natural gas production in Germany are primarily BEB,91 in which ExxonMobil and Shell each hold a 50% stake, Mobil Erdgas und Erdöl GmbH (hereinafter: MEE), a wholly-owned subsidiary of ExxonMobil, GDF Suez E&amp;P Deutschland GmbH (hereinafter: GDF Suez E&amp;P), a wholly-owned subsidiary of GDF Suez, RWE Dea, and Wintershall. The following production volumes in million cubic meters and the corresponding share distribution in percent are attributed to these companies:  </w:t>
        <w:br/>
        <w:t xml:space="preserve">2010 2009 2008  </w:t>
        <w:br/>
        <w:t xml:space="preserve">BEB 6296.1 49.77% 7171.6 49.46% 6000.3 50.90%  </w:t>
        <w:br/>
        <w:t xml:space="preserve">MEE 2315.7 18.30% 2794.6 19.28% 3169.8 20.44%  </w:t>
        <w:br/>
        <w:t xml:space="preserve">RWE Dea 2650.2 20.95% 2995.3 20.66% 2761.8 17.81%  </w:t>
        <w:br/>
        <w:t xml:space="preserve">GDF Suez E&amp;P 740.3 5.85% 744.9 5.35% 818.3 5.28%  </w:t>
        <w:br/>
        <w:t xml:space="preserve">Wintershall 649.4 5.13% 760.7 5.25% 864.8 5.58%  </w:t>
        <w:br/>
        <w:t xml:space="preserve">Total 12,651.8 100% 14,497.2 100% 15,508.1 100%  </w:t>
        <w:br/>
        <w:t xml:space="preserve">(92) ExxonMobil Gas Marketing Deutschland and Shell Erdgas Marketing Deutschland market the quantities from their own production and import quantities from long-term supply contracts with producers in Norway, the Netherlands, Denmark, and Great Britain, which they sell to supra-regional natural gas companies based on long-term supply contracts.  </w:t>
        <w:br/>
        <w:t xml:space="preserve">(93) BEB, ExxonMobil Gas Marketing Deutschland, GDF Suez E&amp;P, RWE Dea, and Wintershall are shareholders of EGM. This company prepares natural gas produced by its shareholders from northern German production and markets it directly as an independent contractual partner and in accordance with contractual obligations of its shareholders to supra-regional natural gas companies.  </w:t>
        <w:br/>
        <w:t xml:space="preserve">(94) In addition to Gazprom export, which sells natural gas based on long-term supply contracts to E.ON, WIEH, and WINGAS,93 the following producers in the Netherlands, Norway, Denmark, and Great Britain supply natural gas based on long-term supply contracts to supra-regional natural gas companies in Germany.  </w:t>
        <w:br/>
        <w:t xml:space="preserve">(95) In the Netherlands, GasTerra, in which the Dutch government holds a 50% stake and Shell and ExxonMobil each hold a 25% stake, is the key gas supplier for the sale of natural gas to supra-regional natural gas companies. In Norway, the producers Statoil ASA, TOTAL E&amp;P Norge AS, ENI Norge AS, ExxonMobil Exploration and Production Norway AS, A/S Norske Shell, and ConocoPhilips Scandinavia AS are the key suppliers for the sale of natural gas to supra-regional natural gas companies in Germany based on long-term supply contracts. In Denmark, the producing company DONG is the sole supplier for the sale of natural gas to supra-regional natural gas companies in Germany based on long-term supply contracts. In Great Britain, BP Gas Marketing Ltd. and Shell Energy Europe Ltd. are key suppliers for the sale of natural gas to supra-regional natural gas companies in Germany based on long-term supply contracts.  </w:t>
        <w:br/>
        <w:t xml:space="preserve">(96) The decision-making department has, in the course of its investigations at the companies E.ON, WINGAS/WIEH, RWE, VNG, ExxonMobil Gas Marketing Deutschland, Shell Erdgas Marketing, EGM, EWE, GDF Suez E&amp;P, ENI Gas &amp; Power GmbH, Statoil Deutschland GmbH, inquired about the actual gas quantities received from the respective suppliers in GWh for the financial years 2008, 2009, and 2010 and evaluated the data. For the calculation of the shares of domestic and foreign producers, the following sales volumes for the natural gas volume in Germany were aggregated: the sales volumes of Gazprom export to E.ON, WIEH, and WINGAS, the sales volumes of GasTerra and two other companies in the Netherlands to supra-regional natural gas companies as well as to EWE, the sales volumes of the production and marketing companies listed in paragraph 95 in Norway, Denmark, and Great Britain to supra-regional natural gas companies, and the sales volumes of ExxonMobil Gas Marketing Deutschland, Shell Erdgas Marketing Deutschland, RWE DEA, GDF Suez E&amp;P, and Wintershall to supra-regional natural gas companies, which...  </w:t>
        <w:br/>
        <w:t xml:space="preserve">93  </w:t>
        <w:br/>
        <w:t>http://www.gazprom-germania.de/unternehmen/unternehmenstruktur/gazprom-export.html, p. 22</w:t>
      </w:r>
    </w:p>
    <w:p>
      <w:r>
        <w:rPr>
          <w:b/>
        </w:rPr>
        <w:t>[Pages 31–33]</w:t>
      </w:r>
    </w:p>
    <w:p>
      <w:r>
        <w:t>- 31 -</w:t>
        <w:br/>
        <w:t>neither directly nor through EGM in the instruction business in fulfillment of contractual obligations to their shareholders delivered to supra-regional natural gas companies. To avoid double counting with regard to the also queried sales business of the supra-regional natural gas companies, sales volumes that were sold based on long-term supply contracts between the supra-regional natural gas companies E.ON, RWE, WINGAS, and VNG were not included in the calculation.</w:t>
      </w:r>
    </w:p>
    <w:p>
      <w:r>
        <w:t>(97) The volume determined by the decision-making department includes only the natural gas sales of domestic and foreign natural gas producers to supra-regional natural gas companies in Germany and thus does not represent the total natural gas supply in Germany at the production and import level. Furthermore, it may also include gas quantities that have been exported by supra-regional natural gas companies to other member states. From the producers' perspective, however, this market volume corresponds to their sales to supra-regional natural gas companies in Germany. Because the production company that supplies natural gas to supra-regional natural gas companies in Germany has no influence over where and how the supra-regional natural gas companies sell the natural gas. Additionally, the supra-regional natural gas companies typically source natural gas from multiple producers. To the extent that the supra-regional natural gas companies export natural gas from their procurement quantities, a producer-specific allocation of the exported quantities would not even be possible.</w:t>
      </w:r>
    </w:p>
    <w:p>
      <w:r>
        <w:t>(98) Based on the natural gas supply determined by the decision-making department, the following share distribution for exploration, production, and sales in Germany is derived for the years 2010, 2009, and 2008:</w:t>
        <w:br/>
        <w:t>Producer 2010 2009 2008</w:t>
        <w:br/>
        <w:t>Gazprom export 33% 32% 34%</w:t>
        <w:br/>
        <w:t>Netherlands 23% 23% 23%</w:t>
        <w:br/>
        <w:t>(3 suppliers)</w:t>
        <w:br/>
        <w:t>Of which GasTerra 22% 22% 22%</w:t>
        <w:br/>
        <w:t>Norway 24% 23% 24%</w:t>
        <w:br/>
        <w:t>(6 suppliers)</w:t>
      </w:r>
    </w:p>
    <w:p>
      <w:r>
        <w:t>- 32 -</w:t>
        <w:br/>
        <w:t>Of which Statoil ASA 19% 18% 18%</w:t>
        <w:br/>
        <w:t>Denmark and 3% 4% 4%</w:t>
        <w:br/>
        <w:t>United Kingdom</w:t>
        <w:br/>
        <w:t>(3 suppliers)</w:t>
        <w:br/>
        <w:t>Germany 13% 13% 12%</w:t>
        <w:br/>
        <w:t>(5 suppliers)</w:t>
        <w:br/>
        <w:t>4% 5% 3%</w:t>
        <w:br/>
        <w:t>Others</w:t>
      </w:r>
    </w:p>
    <w:p>
      <w:r>
        <w:t>(99) Accordingly, Gazprom export is the market leader, with Dutch GasTerra in second place, followed by Statoil ASA. The share of Russian natural gas in Germany is thus significantly above the EEA average of 25% in 2008 and 23% in both 2009 and 2010. One reason for this may also be the strategic partnership between Wintershall/BASF and Gazprom. Both have established a distribution business in Germany and neighboring member states that extends beyond mere export through the jointly controlled WINGAS.</w:t>
      </w:r>
    </w:p>
    <w:p>
      <w:r>
        <w:t>(2) Individual Market Dominance</w:t>
        <w:br/>
        <w:t>(100) The market share of Gazprom export was slightly above the current presumption threshold for individual market dominance of 33 1/3 according to § 19 Abs. 3 S.1 GWB in 2008 at 34% and slightly below it in 2010 at 33%. Based on the maximum delivery quantities of the ongoing long-term supply contracts, Gazprom export's share of the natural gas supply in Germany for the years 2008, 2009, and 2010 is each &lt; 30%, which is above the presumption threshold for individual market dominance.</w:t>
      </w:r>
    </w:p>
    <w:p>
      <w:r>
        <w:t>(101) The market for exploration, production, and sales in Germany is characterized by high market entry barriers. Exploration and production of natural gas depend on the geological distribution of gas fields and are capital-intensive. In this area, predominantly state-owned companies are active. On the market counterpart side are the importers, who purchase natural gas from the gas producers and resell it in the territory of the respective member state. Natural gas deliveries are based on long-term supply contracts, through which producers and buyers are bound to each other.</w:t>
      </w:r>
    </w:p>
    <w:p>
      <w:r>
        <w:t>- 33 -</w:t>
        <w:br/>
        <w:t>(102) In the medium term, it is expected that gas production in Germany and the Netherlands will rather decrease, which could lead to an increase in the significance of Russian natural gas for sales in Germany.</w:t>
      </w:r>
    </w:p>
    <w:p>
      <w:r>
        <w:t>(103) Against this background, it must be examined whether Gazprom export, as a natural gas supplier, is exposed to significant competition and does not possess a dominant market position, with both alternatives to be examined in isolation.</w:t>
      </w:r>
    </w:p>
    <w:p>
      <w:r>
        <w:t>(104) The question of whether Gazprom export is exposed to significant competition must first be examined against the backdrop of the procurement situation of the supra-regional natural gas companies in Germany. According to the investigations of the decision-making department, the supra-regional natural gas companies typically procure natural gas from several production companies both domestically and abroad. The traditional long-term gas supply business is conducted based on contracts negotiated in bilateral negotiations between buyer and seller.</w:t>
      </w:r>
    </w:p>
    <w:p>
      <w:r>
        <w:t>(105) In the course of its investigations regarding the procurement of natural gas based on long-term supply connections, the decision-making department has queried the terms of the existing contracts, indicating the contract start and end dates, the price formulas contained in the gas supply contracts, the maximum delivery quantity of natural gas in cubic meters, as well as the "take-or-pay" quantity.</w:t>
      </w:r>
    </w:p>
    <w:p>
      <w:r>
        <w:t>(106) Typical for long-term import contracts are the agreements on annual maximum delivery quantities and contractually agreed minimum quantities, usually 75 to 85% of the annual quantities, and the associated unconditional payment obligations of the buyer ("take-or-pay"). Price formation occurs through price formulas consisting of several components, through which the contracting parties automatically establish the cost aspects of the contractual agreements made between them at the conclusion of the contract for the duration of the contract on a monthly or quarterly basis. These price formulas consist of one or more fixed components and one or more indexing components and traditionally orient themselves both in terms of price level and ongoing indexing to the prices of competing energy sources, light and heavy heating oil, and coal, weighted according to their respective significance.</w:t>
      </w:r>
    </w:p>
    <w:p>
      <w:r>
        <w:t>(107) This results in Gazprom export, like any other production company, being bound to the contractually agreed minimum quantities for the duration of a long-term supply contract with its respective buyer, usually 75 to 85% of the annual quantities.</w:t>
      </w:r>
    </w:p>
    <w:p>
      <w:r>
        <w:rPr>
          <w:b/>
        </w:rPr>
        <w:t>[Pages 34–36]</w:t>
      </w:r>
    </w:p>
    <w:p>
      <w:r>
        <w:t>- 34 -</w:t>
        <w:br/>
        <w:t>quantities, is not exposed to significant competition for the duration of a long-term supply contract with its respective customer regarding the contractually agreed minimum quantities, usually 75 to 85% of the annual quantities. The difference between the annual maximum delivery quantities and the contractually agreed minimum quantities would, however, be disputable in principle.</w:t>
      </w:r>
    </w:p>
    <w:p>
      <w:r>
        <w:t>(108) [...]</w:t>
      </w:r>
    </w:p>
    <w:p>
      <w:r>
        <w:t>(109) In the last two years, spot market prices were at times significantly below the level of the prices agreed upon in Gazprom export's long-term supply contracts with its customers. The reason for this was a sharply decreased demand due to recession and a corresponding oversupply of natural gas in Europe, which led to a price drop in spot prices for natural gas. The significantly increased demand in 2010 due to economic and weather conditions resulted in rising spot market prices, which, however, remained considerably below those of oil-indexed pipeline gas.</w:t>
      </w:r>
    </w:p>
    <w:p>
      <w:r>
        <w:t>(110) During the course of 2009, the border crossing prices for natural gas to Germany fell significantly and were almost 40% lower in December than in January 2009. The cause of this was the development of oil prices, specifically the massive price drop in crude oil at the end of 2008, which, according to the price formulas used in the long-term contracts, led to a delayed reduction in border crossing prices. Throughout 2010, the border crossing prices for natural gas to Germany rose and were 23% higher in December than in January 2010.</w:t>
      </w:r>
    </w:p>
    <w:p>
      <w:r>
        <w:t>(111) It is now likely established that the developments described above are not merely a short-term phenomenon. These developments resulted in importers still having to procure a large part of the physical procurement volume under "take-or-pay" quantities. At the same time, however, the procurement share of long-term contracts in the overall procurement portfolio was reduced by an expansion of procurement in the trading markets. Whether this circumstance alone is sufficient to ensure that Gazprom export will be exposed to significant competition during the forecast period appears questionable.</w:t>
      </w:r>
    </w:p>
    <w:p>
      <w:r>
        <w:t>(112) For the question of whether Gazprom export has a dominant market position, it is particularly important to what extent Gazprom export has a non-controllable scope of behavior with respect to its customers. In this context, it is also necessary to consider how Gazprom export has reacted to the price drop in the last two years. The significant difference between spot trading prices and prices under long-term contracts that has persisted since 2009 has forced the counterparties of the long-term supply contracts to address whether and to what extent this development entitles or obliges them to a price adjustment, particularly a price revision, under a long-term contract. Gazprom export is currently in discussions or arbitration with a majority of its customers in Europe, with negotiations at different stages depending on the customer.</w:t>
      </w:r>
    </w:p>
    <w:p>
      <w:r>
        <w:t>(113) According to the investigations of the decision-making department, spot market-related price formulas were used for the new contracts concluded by Gazprom export with customers in Germany in 2010. It was already known in February 2010 that the largest German long-distance gas company, E.ON, had agreed with its Russian supplier Gazprom on more flexible supply contracts, in which partial quantities are no longer linked to the oil price but to the spot price for gas. As for the long-term procurement contracts ("old contracts") concluded before 2010, the supra-regional long-distance gas companies have been able to sell the long-term procured gas on the downstream markets only at a loss for some time, as long as no price adjustments are made in these contracts between importing supra-regional gas companies and natural gas producers. This situation has led to significant losses for all importing long-distance gas companies, particularly for E.ON as the largest German supra-regional long-distance gas company.</w:t>
      </w:r>
    </w:p>
    <w:p>
      <w:r>
        <w:t>(114) Regarding such "old contracts," Gazprom export and E.ON are currently in a contractually stipulated arbitration procedure. In its statement on the draft decision of January 25, 2012, E.ON pointed out that the producers are in a significantly stronger position economically in price revision negotiations in long-term gas supply contracts. This is already evident from the fact that during the negotiations, the previously agreed price must continue to be paid. Accordingly, E.ON is currently experiencing with Gazprom that price revision negotiations are being prolonged to E.ON's detriment.</w:t>
      </w:r>
    </w:p>
    <w:p>
      <w:r>
        <w:t>(115) If, despite the price developments in the spot markets and the downstream markets, gas producers can refuse or block contractually stipulated price negotiations, this indicates a significant degree of power. In the currently ongoing price revision negotiations, the producers are clearly in a stronger position relative to their customers. On the other hand, economically and legally, it is always the party seeking a price adjustment through renegotiation that is in a weak position. This is because the other contracting party can always maintain its advantageous position at least temporarily through delays and a lack of willingness to compromise.</w:t>
      </w:r>
    </w:p>
    <w:p>
      <w:r>
        <w:t>(116) The fact, however, that arbitration proceedings must be initiated as a result of failed bilateral price revision negotiations rather suggests that Gazprom export does not have a sufficiently controllable scope of behavior with respect to its customers through bilateral discussions and negotiations. However, the question can remain open. Because even if one concludes that the presumption of individual market dominance cannot be considered rebutted in this case, no prohibitable deterioration of the structural conditions in the form of the emergence or strengthening of individual market dominance in the exploration, production, and sale of natural gas in Germany is to be expected as a result of the present merger.</w:t>
      </w:r>
    </w:p>
    <w:p>
      <w:r>
        <w:t>(117) Since the question of individual market dominance could be left open here, the decision-making department did not examine individual market dominance based on the pivotal analysis in the present merger case. In the antitrust supervision of the electricity markets, the Federal Cartel Office has applied new methods to demonstrate market power. In the sector inquiry into electricity generation/electricity wholesale from January 2011, the Federal Cartel Office conducted an in-depth analysis of the competitive conditions in important areas of the electricity industry and specifically commented on the assessment of market power based on a so-called pivotal analysis. The economic power position of a company can enable it to prevent the maintenance of effective competition in the relevant market by providing it with the opportunity to behave independently to a significant extent towards its competitors, its customers, and ultimately the consumers. This independence can also be expressed in the fact that a company is indispensable to the market counterpart. The indispensability of a supplier can be examined in the electricity sector using pivotal analysis. This involves examining the ratio of the available electricity generation capacity of a particular supplier to the total demand for electricity in the market. The pivotal analysis is a suitable tool for determining market power and dominance in electricity markets, as it takes into account the characteristics of the electricity sector – the non-storability...</w:t>
      </w:r>
    </w:p>
    <w:p>
      <w:r>
        <w:rPr>
          <w:b/>
        </w:rPr>
        <w:t>[Pages 37–39]</w:t>
      </w:r>
    </w:p>
    <w:p>
      <w:r>
        <w:t>- 37 -</w:t>
        <w:br/>
        <w:t>of electricity and thus the requirement that at any given time the amount of electricity fed into the grid and the amount of electricity withdrawn must be balanced – is particularly well addressed.</w:t>
      </w:r>
    </w:p>
    <w:p>
      <w:r>
        <w:t>(118) Whether the pivotal analysis is also a suitable instrument for determining market power and dominance in the gas markets is left open by the decision-making department. However, an important difference should be noted. Natural gas can be stored to a significant extent in underground gas storage facilities (see paragraphs 195 ff.)</w:t>
      </w:r>
    </w:p>
    <w:p>
      <w:r>
        <w:t>(3) Emergence or strengthening of individual market dominance</w:t>
        <w:br/>
        <w:t>(119) From a vertical perspective, the merger project could lead to a securing of the supply of Russian natural gas through the WIEH supplied by Gazprom to VNG. In this context, it should first be noted that the sales of WIEH to VNG occur under a long-term supply contract that does not expire until 2031 and whose remaining term far exceeds the forecast period. In this respect, one could already question the causality of the merger project for any potential sales security.</w:t>
      </w:r>
    </w:p>
    <w:p>
      <w:r>
        <w:t>(120) However, assuming that contractual obligations are a business decision that can also be reversed or terminated, the present merger project ensures that the contractual obligation of VNG to WIEH continues. In this respect, the merger project would also be causally linked to a possible sales security. VNG points out in its statement on the draft decision of January 25, 2012, that this consideration is misleading. Of course, contracts can be amended. However, this always requires the consent of both contracting parties. Thus, it is currently solely dependent on the will of WIEH, so that an increased sales security from the merger project is not evident.</w:t>
      </w:r>
    </w:p>
    <w:p>
      <w:r>
        <w:t>(121) The securing of an existing supply relationship through the participation of a producer in one of its customers can represent a structural deterioration. However, in each individual case, a concrete deterioration of the competitive conditions must be expected, which increases the possibilities or incentives of the dominant market player for a foreclosure strategy.</w:t>
      </w:r>
    </w:p>
    <w:p>
      <w:r>
        <w:t>(122) With regard to the participations of dominant energy suppliers in their municipal utility and regional supplier customers, such a prohibitable vertical market foreclosure effect has regularly been affirmed by the decision-making department in the past, including in cases of participations under § 37 Abs. 1 Nr. 4 GWB. In particular, the following reasons support a strengthening effect through participation in a vertical sense: consideration of the (supplier) interests of the participating generation company by the co-shareholders, informational advantages of the participating generation company regarding competing offers due to its participation in procurement decisions in the supervisory board, as well as advantages in price competition with other suppliers through consideration of returns from the profits of the participating company. This removes both the opportunity and the incentive for competitors to make competitive advances.</w:t>
      </w:r>
    </w:p>
    <w:p>
      <w:r>
        <w:t>(123) In this context, however, the specifics of the traditional long-term gas supply business must be taken into account, which is based on contracts negotiated bilaterally between buyer and seller. As already noted in paragraph 107, there is no competition between production companies for the duration of a long-term supply contract with its respective customer regarding the contractually agreed minimum quantities, usually 75 to 85% of the annual quantities. This results in competitors having neither the opportunity nor the incentive to compete due to the contractual long-term commitment of a customer, especially since all production companies have long-term natural gas supply contracts. In this respect, it is not the corporate participation but the long-term supply commitment that is causally responsible for the existing sales security regarding the contractually agreed minimum quantities, usually 75 to 85% of the annual quantities.</w:t>
      </w:r>
    </w:p>
    <w:p>
      <w:r>
        <w:t>(124) The difference between the annual maximum delivery quantities and the contractually agreed minimum quantities would, however, be disputable in principle. [...]</w:t>
      </w:r>
    </w:p>
    <w:p>
      <w:r>
        <w:t>(125) In 2008, VNG sourced 42% of its gas from Russia, 23% from Germany, 24% from Norwegian sources, and 11% from the European spot and futures markets. In 2010, however, the supplies under long-term gas supply contracts came to 32% from Russia, 19% from Germany, and 18% from Norwegian sources, while VNG covered 31% of its gas supply in 2010 from the European spot and futures markets. This development shows that importers still have to source a large part of the physical procurement volume within the framework of "take-or-pay" quantities. At the same time, however, the share of procurement from long-term contracts in the overall procurement portfolio has been reduced by an expansion of procurement in the trading markets.</w:t>
      </w:r>
    </w:p>
    <w:p>
      <w:r>
        <w:t>(126) Assuming for the question of sales security that the procurement of additional quantities beyond the "take-or-pay" obligations is disputable, then a sales security concerning the difference between the annual maximum delivery quantities and the contractually agreed minimum quantities of the long-term supply contract between WIEH and VNG would also be comparatively low. Measured against the total volume for exploration, production, and sales in Germany, the difference between the annual maximum delivery quantities and the contractually agreed minimum quantities of WIEH to VNG in 2010 represents a share of just under 2%. In relation to the total sales of Gazprom export in Germany, this results in a share of 5% in 2010. These shares are each too low to predict the emergence or strengthening of a dominant position of Gazprom in the exploration, production, and sales of natural gas in Germany, given a market share that is significantly below the presumption threshold for individual market dominance raised to 40% in the ongoing GWB amendment.</w:t>
      </w:r>
    </w:p>
    <w:p>
      <w:r>
        <w:t>(4) No emergence or strengthening of joint market dominance</w:t>
        <w:br/>
        <w:t>(127) The emergence or strengthening of a joint dominant position is also not to be expected. Although the market share thresholds of the oligopoly presumption under § 19 Abs. 3 S. 2 Nr. 1 GWB are met, as Gazprom export, GasTerra, and Statoil ASA together achieve a share of 74% in the exploration, production, and sales of natural gas in Germany. Furthermore, as outlined in paragraph 101, the barriers to market entry are high.</w:t>
      </w:r>
    </w:p>
    <w:p>
      <w:r>
        <w:t>(128) Finally, at the state level, there is the Forum of Gas Exporting Countries (Gas Exporting Countries Forum, abbreviated: GECF), an international organization at the government level, which was established in December 2008 in Moscow, and whose goal is to intensify cooperation among its members. The establishment of the Forum of Gas Exporting Countries was first discussed at the initiative of Iran in 2001. Since then, an annual ministerial meeting has taken place. Since the end of 2008, GECF has had an institutional structure and a secretariat. Russia is a permanent member, while Norway and the Netherlands only have observer status. Such</w:t>
      </w:r>
    </w:p>
    <w:p>
      <w:r>
        <w:rPr>
          <w:b/>
        </w:rPr>
        <w:t>[Pages 40–42]</w:t>
      </w:r>
    </w:p>
    <w:p>
      <w:r>
        <w:t>- 40 -</w:t>
        <w:br/>
        <w:t>efforts to coordinate at the state level are fundamentally to be assessed as competitively critical.</w:t>
        <w:br/>
        <w:t>(129) However, the market for the exploration, production, and sale of natural gas in Germany exhibits structural characteristics in the form of long-term supply contracts, which make it less suitable for tacit coordination.</w:t>
        <w:br/>
        <w:t>(130) The traditional long-term gas supply business is based on contracts negotiated in bilateral discussions between buyer and seller. As already outlined in paragraph 106, traditional import contracts are characterized on the one hand by the agreement of annual maximum delivery quantities and contractually agreed minimum quantities, usually 75 to 85% of the annual quantities, and the unconditional payment obligations of the buyer ("take-or-pay") attached to them, and on the other hand by a pricing mechanism that is based on price formulas consisting of several components, which include one or more fixed components and one or more indexing components, and traditionally orient themselves both in terms of price level and ongoing indexing to the prices of competing energy sources, such as light and heavy heating oil and coal, weighted according to their respective significance.</w:t>
        <w:br/>
        <w:t>(131) This results in producers being bound with respect to production quantities for the duration of these contracts. The same generally applies to the price. However, there are price revision clauses that allow for a review of the contractually agreed prices at certain intervals. A tacit coordination aimed at, for example, reducing production quantities to drive up the price of natural gas is excluded by the system of long-term supply contracts for the duration of the respective terms.</w:t>
        <w:br/>
        <w:t>(132) Regarding the absolute durations of the supply contracts with customers in Germany, the following distribution applies for Gazprom, GasTerra, and Statoil ASA:</w:t>
        <w:br/>
        <w:t>Duration Gazprom GasTerra Statoil ASA</w:t>
        <w:br/>
        <w:t>10 to 19 years [...] [...] [...]</w:t>
        <w:br/>
        <w:t>20 to 29 years [...] [...] [...]</w:t>
        <w:br/>
        <w:t>30 to 40 years [...] [...] [...]</w:t>
      </w:r>
    </w:p>
    <w:p>
      <w:r>
        <w:t>- 41 -</w:t>
        <w:br/>
        <w:t>Longer [...] [...] [...]</w:t>
        <w:br/>
        <w:t>(133) Concerning the respective end dates of the existing long-term supply contracts of Gazprom, GasTerra, and Statoil ASA with customers in Germany, the decision-making department has determined that in the period from 2011 to 2030, there is no year in which contracts concluded by all three suppliers with customers in Germany end simultaneously. Only in one year during the period from 2011 to 2030 do contracts concluded by two of the three suppliers with customers in Germany end simultaneously. Otherwise, in the period from 2011 to 2030, contracts concluded by each of the three suppliers with customers in Germany end in different years.</w:t>
        <w:br/>
        <w:t>(134) Based on the economic logic of "Tacit-Collusion" models, three conditions must be met for the existence of joint market dominance to ensure that coordination is sustainable, as determined by the Court of First Instance in the Airtours/First Choice case. First, the coordinating companies must be able to sufficiently monitor whether the coordination modalities are being followed. Second, coordination discipline requires that credible deterrent mechanisms come into play when a deviation occurs. Third, the reactions of outsiders, such as current and future competitors who do not participate in the coordination, as well as customers, must not jeopardize the expected results of the coordination.</w:t>
        <w:br/>
        <w:t>(135) For coordination to be sustainable, the coordinating companies must be able to sufficiently monitor compliance with the coordination modalities, which requires a certain level of transparency of company, market, and industry data. Market transparency is therefore regarded as a necessary prerequisite for tacit coordination. On transparent markets, the behavior of competitors is particularly predictable. Market transparency enables companies to coordinate their behavior, respond quickly, and, if necessary, punish any deviators. It is sufficient for a market to be transparent with respect to the most important competitive factors, such as prices and quantities. Free access to this data somewhat replaces the information exchange that precedes a cartel agreement. In markets with a public reconciliation of supply and demand, such as the fuel station markets, such transparency is very high. In contrast, in markets where, as in traditional long-term gas supply contracts, the contractual basis between buyer and supplier is negotiated bilaterally and individually within this relationship, the nature of the business relationship remains hidden. Such markets do not have the necessary market transparency to allow companies to sufficiently monitor the coordination modalities without explicit agreement.</w:t>
        <w:br/>
        <w:t>2. Supply of distributors by supra-regional natural gas companies</w:t>
        <w:br/>
        <w:t>a) Substantive market definition</w:t>
        <w:br/>
        <w:t>(136) VNG and WINGAS are both active in supplying distributors.</w:t>
        <w:br/>
        <w:t>(137) In the gas sector, the substantive market definition traditionally focuses primarily on the different distribution levels: At the first level, supra-regional natural gas companies that produce or import natural gas supply regional natural gas companies and other large distributors. At the second level, regional natural gas companies and the large distributors supplied by the supra-regional natural gas companies supply natural gas to regional and local distributors, usually municipal utilities. At the final level, local distributors supply natural gas to end customers.</w:t>
        <w:br/>
        <w:t>(138) E.ON pointed out in its statement on the draft decision of January 25, 2012, that in its view, defining a unified distributor market would be more appropriate. The decision-making department does not share this assessment. The multi-level market definition from the suppliers' perspective is necessary to determine the competitive forces to which companies are exposed at the respective levels. The Federal Court of Justice has held in the "vacuum cleaner bag market" decision that a market definition is flawed if it leads to producers and resellers being placed on the same trading level, even though the total traded goods have been brought to market by the producers. This is also the case in the gas industry. The total amount of natural gas available to distributors is determined by the supra-regional natural gas companies that produce or import natural gas. It follows that the regional natural gas companies operating at the second level and the large distributors supplied by the supra-regional natural gas companies...</w:t>
      </w:r>
    </w:p>
    <w:p>
      <w:r>
        <w:rPr>
          <w:b/>
        </w:rPr>
        <w:t>[Pages 43–45]</w:t>
      </w:r>
    </w:p>
    <w:p>
      <w:r>
        <w:t>- 43 -</w:t>
        <w:br/>
        <w:t>large distributors supplied by supra-regional natural gas companies can only deliver natural gas to regional and local distributors, particularly municipal utilities, which they have previously purchased from the supra-regional natural gas companies. The same applies to the regional and local distributors operating at the final stage. They too can only deliver natural gas to end customers that they have previously purchased from the regional natural gas companies and the large distributors supplied by the supra-regional natural gas companies. If supra-regional and regional natural gas companies and regional to local distributors were placed on the same trading level, the natural gas sales could not be reliably represented. This would lead to multiple counting. The market share of the supra-regional natural gas companies would be inaccurately represented, even though they produce or import all the natural gas themselves.</w:t>
      </w:r>
    </w:p>
    <w:p>
      <w:r>
        <w:t>(139) For these reasons, the decision-making division delineates a market for the supply of regional natural gas companies and other large distributors with natural gas by supra-regional natural gas companies according to these market levels in its established decision-making practice, most recently in the proceedings "EnBW/EWE"102 and "EnBW/VNG"103 as well as "RWE/SW Lingen/SW Radevormwald"104. On this market, supra-regional natural gas companies operate as natural gas producers and importers. For the supply of distributors by supra-regional natural gas companies, a single relevant market for L-gas and H-gas is to be assumed for the reasons listed under paragraph 78.</w:t>
      </w:r>
    </w:p>
    <w:p>
      <w:r>
        <w:t>b) Spatial Market Definition</w:t>
        <w:br/>
        <w:t>(140) In spatial terms, the decision-making division has delineated the relevant gas markets in its established decision-making practice most recently in the proceedings "EnBW/EWE"105 and "EnBW/VNG"106 as well as "RWE/SW Lingen/SW Radevormwald"107, based on the established distribution areas of the natural gas companies, regional suppliers, and municipal utilities, whereby these areas are regularly represented by the respective network area of the network company associated with the affected gas supplier.</w:t>
      </w:r>
    </w:p>
    <w:p>
      <w:r>
        <w:t>(141) The spatial market definition is determined by the actual substitution possibilities of the market counterpart, taking into account not only economic and technical conditions but also legal barriers. Legal barriers existed in the pipeline-based supply of gas until 1998 in that, according to § 103 Abs. 1 Nr. 1 GWB a.F., demarcation contracts were permissible. Although these legal barriers were removed with the liberalization of the energy industry in 1998108, economic and technical hurdles initially remained.</w:t>
      </w:r>
    </w:p>
    <w:p>
      <w:r>
        <w:t>(142) In a further amendment of the EnWG on July 13, 2005, access to gas networks was newly regulated by the legislator. By decision of the Federal Network Agency on November 17, 2006, the individual booking model previously used by the network operators, in which transport customers had to pay fees for each transport network passed along a fictitious gas transport path, was prohibited as it was not compatible with the legal requirements of the EnWG amendment. As of October 1, 2007, the individual booking model was replaced by a two-contract model, which allows access to the gas network within a so-called market area based on only two contracts (two-contract model). In the two-contract model, the transport customer books capacity rights at entry and exit points within a market area, with the fees for entry and exit being independent of the length of a specific or fictitious transport path. The regulation of gas networks and, in particular, the introduction of the two-contract model and the increasing reduction of market areas are intended to enable the development of a functioning wholesale market. However, the fact that network operators cooperate within a market area for the purpose of transporting natural gas and that the transport of gas within a market area is organized according to this two-contract model does not, in itself, allow any conclusions to be drawn about the spatial delineation of the relevant sales markets for competitive assessment. This is because the simplified network access resulting from the two-contract model does not automatically mean that the isolation of the sales markets from the time of demarcation can be considered broken. Rather, an independent assessment is required for this.</w:t>
      </w:r>
    </w:p>
    <w:p>
      <w:r>
        <w:t>(143) The Federal Cartel Office has reviewed the network-related market delineation in the past three years in the proceedings "EnBW/EWE"109 and "EnBW/VNG"110 as well as "RWE/SW Lingen/SW Radevormwald"111 against the background of the regulatory developments of gas networks and the increasing reduction of market areas. In doing so, the Federal Cartel Office has reached the conclusion that a general finding that a "transmission mechanism" will develop to such an extent on the domestic gas markets based on the market opening measures of the Federal Network Agency and the Federal Cartel Office that would allow for a cross-network or even nationwide market delineation cannot yet be made.</w:t>
      </w:r>
    </w:p>
    <w:p>
      <w:r>
        <w:t>(144) In 2010, the decision-making division again analyzed the contractual situation regarding the supply of local and regional distributors by supra-regional and regional natural gas companies and published its findings in the "Report on the Evaluation of Decisions on Long-Term Supply Contracts"112 dated June 15, 2010. In this report, the decision-making division comes to the following findings:</w:t>
      </w:r>
    </w:p>
    <w:p>
      <w:r>
        <w:t>(145) "In the overall view of the general indicators for market development since the issuance of the decisions on long-term gas supply contracts and the current survey results, there is a significant change in the competitive conditions in the area of gas distribution. Opportunities for discrimination against non-vertically integrated gas suppliers by vertically integrated energy suppliers have been reduced, the transmission through multiple networks has been facilitated, the switching of suppliers by the customer has been made easier, trade has been strengthened, and through all these measures, the market entry barriers for new providers have also been lowered."</w:t>
      </w:r>
    </w:p>
    <w:p>
      <w:r>
        <w:t>(146) "These general market developments are also reflected in the results of the market survey. The improved possibilities for transmission through multiple networks or even across the border between market areas manifest themselves in that the surveyed suppliers supply local and regional distributors in an average of three of the currently six market areas, and only five surveyed suppliers are limited to a single market area. The improved possibilities to transmit gas wholly or partially..."</w:t>
      </w:r>
    </w:p>
    <w:p>
      <w:r>
        <w:rPr>
          <w:b/>
        </w:rPr>
        <w:t>[Pages 46–48]</w:t>
      </w:r>
    </w:p>
    <w:p>
      <w:r>
        <w:t>- 46 -</w:t>
        <w:br/>
        <w:t>the ability to switch suppliers and, in the case of a partial switch, to diversify procurement contributes to the drastically reduced contract duration and supply or purchase volume per contract. The market survey demonstrated, through the multitude of requests made by buyers and the offers submitted by suppliers prior to contract conclusion, the steadily increasing willingness to switch suppliers or to expand the circle of suppliers. The continuous increase, particularly in exchange trading, was evident from the products increasingly demanded by buyers and increasingly offered by suppliers that are traded on the exchange. The increasingly broader product portfolio, in general, is also a reflection of intensified competition, as it shows the efforts of providers to meet the needs of buyers with individually tailored products. That all these developments not only mean improved competitive conditions for current providers but also reduce market entry barriers for potential providers is evident from the actual market entries that have occurred since the issuance of the decisions on long-term gas supply contracts. A number of providers, including particularly the companies Centrica, DONG, EconGas, GDF, goldgas, and natGAS, have successfully entered the market as suppliers for local and regional distributors.</w:t>
      </w:r>
    </w:p>
    <w:p>
      <w:r>
        <w:t>(147) Meanwhile, the number of market areas has decreased to two market areas, namely NetConnect and GASPOOL, following the accession of the Thyssengas market area to the NetConnect market area on April 1, 2011, and the merger of the GASPOOL and Aequamus market areas on October 1, 2011. The decision-making department has further investigated the question of spatial market definition in the course of its investigations and has arrived at the following conclusion, also taking into account the findings presented in paragraphs 145 and 146:</w:t>
      </w:r>
    </w:p>
    <w:p>
      <w:r>
        <w:t>(148) For the supply of regional natural gas companies and distributors by supra-regional natural gas companies, a nationwide market definition may already be appropriate. The investigations of the decision-making department have shown that all supra-regional natural gas companies have been active in the market areas that have merged into the NetConnect market area since April of last year and into the GASPOOL market area since October of last year, albeit with still differing traditional focuses.</w:t>
      </w:r>
    </w:p>
    <w:p>
      <w:r>
        <w:t>(149) A market area-related definition of the market for the supply of regional natural gas companies and distributors with natural gas, compared to a nationwide market definition, would only be warranted if the exchange possibilities for demanders were objectively limited to the market area. Such barriers could, in this case, either consist of bottlenecks at market area transition capacities or in the accumulation of entry and exit fees that apply to each market area ("pancaking").</w:t>
      </w:r>
    </w:p>
    <w:p>
      <w:r>
        <w:t>(150) Contractual bottlenecks at market area coupling points are, however, no longer apparent at this time. They existed in the past when capacities were booked out over a longer period without the market area transition points needing to be physically fully utilized. Meanwhile, the allocation of entry and exit capacities at market transition and border crossing points has been newly regulated by the Gas Network Access Ordinance (GasNZV) of September 3, 2010, and the determination regarding capacity regulations and auction procedures in the gas sector (KARLA Gas) by the Federal Network Agency on February 24, 2011. According to § 12 Abs. 1 GasNZV, transmission system operators have been required since August 1, 2011, to establish a joint platform for the allocation of entry and exit capacities, through which the capacities are auctioned. This primary capacity platform is operated by TRAC-X Transport Capacity Exchange GmbH (hereinafter: TRAC-X) under the name "TRAC-X primary." On the primary capacity platform, bundled capacities, meaning an exit from one market area with simultaneous entry into another market area, will be offered with standardized terms in the form of annual, quarterly, monthly, and day-ahead products. All auctions start at defined times, which are recorded in an online auction calendar. If transport customers do not utilize the capacities they have booked, they are obliged under § 16 Abs. 1 GasNZV to offer these immediately as secondary capacities on the secondary capacity platform, which is also operated by TRAC-X under the name "TRAC-X secondary" (use-it-or-sell-it procedure) or to make them available to the transmission system operator, who will market them again as primary capacity. Through these regulations, it is consequently no longer easily possible for transport customers to reserve long-term capacities at market transition points without utilizing them. Thus, the gap between contractual and physical bottlenecks can largely be closed.</w:t>
      </w:r>
    </w:p>
    <w:p>
      <w:r>
        <w:t>(151) Physical bottlenecks at the market transition points are, in the opinion of the Monopolies Commission, not present. Physical bottlenecks at the market transition points would arise if transport customers wanted to inject more natural gas from one market area into another than would be technically feasible. Should network bottlenecks actually occur, the network operators compensate for this through appropriate measures, such as flow shifts by calling on load flow commitments, so that at least from the perspective of the transport customers, no bottleneck exists.</w:t>
      </w:r>
    </w:p>
    <w:p>
      <w:r>
        <w:t>(152) Furthermore, the so-called "pancaking" no longer represents such a strong competitive hindrance due to the reduction of the market areas to GASPOOL and NetConnect that could justify a separation of the spatial market for the supply of regional natural gas companies and distributors into different market areas. Pancaking, meaning the accumulation of entry and exit fees, occurs in a two-contract model when the gas to be transported by a transport customer must pass through several market areas. In this case, the network operators do not have to ensure the identity of the gas (§ 8 Abs. 1 S. 2 GasNZV), so that the transport path defined across several market areas is usually of a fictitious nature. Pancaking leads to transportation into foreign market areas being more expensive than transportation within a market area. It acts as a stronger trade barrier between the market areas the greater the fragmentation of the market area landscape is. However, since October 1, 2011, there are only two market areas in Germany, so that a transport customer has to pay at most two entry and exit fees for a natural gas transport within the federal territory. The hindrance of mutual market penetration through the accumulation of entry and exit fees in two market areas is, in the assessment of the decision-making department, too weak to justify a spatial separation of the market into two market areas.</w:t>
      </w:r>
    </w:p>
    <w:p>
      <w:r>
        <w:t>(153) A market area-related definition of the relevant market would furthermore lead to a distorted representation of market and competitive conditions, as the current extent of the market areas is the result of voluntary cooperation between transmission system operators and not of existing network bottlenecks. § 6 Abs. 4</w:t>
      </w:r>
    </w:p>
    <w:p>
      <w:r>
        <w:rPr>
          <w:b/>
        </w:rPr>
        <w:t>[Pages 49–51]</w:t>
      </w:r>
    </w:p>
    <w:p>
      <w:r>
        <w:t>- 49 -</w:t>
        <w:br/>
        <w:t>GasNZV in the version of November 8, 2006, until August 11, 2008, allowed for the natural gas companies that were to cooperate in the formation of market areas to consider only technically justified capacity constraints as criteria for market delineation. Nevertheless, the boundaries of a market area were primarily determined in the past by the ownership boundaries of the networks.117 The rapid consolidation of market areas in recent years (from 28 market areas on May 1, 2006, to 2 market areas on October 1, 2011) also suggests that the technical capacity constraints were only short-term or played a subordinate role.118 The current expansion of the market areas NetConnect and GASPOOL is the result of these cooperation agreements based on corporate decisions. Since, in the opinion of the decision-making department, there are no significant competitive barriers between the two market areas due to either physical or contractual constraints, nor can any further trade barriers be identified, delineating the relevant spatial market by market areas would lead to a distorted picture of the market and competitive conditions.</w:t>
      </w:r>
    </w:p>
    <w:p>
      <w:r>
        <w:t>(154) However, the decision-making department considers it necessary in the coming years to continue examining the market conditions as a corrective measure in the established distribution areas of the natural gas companies, regional suppliers, and municipal utilities, whereby these areas are regularly represented by the respective network area of the network company connected to the affected gas supplier.</w:t>
      </w:r>
    </w:p>
    <w:p>
      <w:r>
        <w:t>(155) In this context, RWE has objected in its statement regarding the draft decision of January 25, 2012, that this procedure leads to legal uncertainty. The decision-making department cannot agree with this. The competitive assessment does not lead to a different result in any of the alternative market delineations.</w:t>
      </w:r>
    </w:p>
    <w:p>
      <w:r>
        <w:t>c) No creation or strengthening of dominant positions</w:t>
        <w:br/>
        <w:t>aa) Supply of distributors in the ONTRAS network area</w:t>
        <w:br/>
        <w:t>(156) It cannot be assumed that a potentially still existing dominant position of VNG in the supply of distributors in the ONTRAS network area would be secured by the present merger, despite significantly declining market shares.</w:t>
      </w:r>
    </w:p>
    <w:p>
      <w:r>
        <w:t>(157) When calculating the market volume for the supply of distributors based on the total gas quantities fed into the ONTRAS network area minus the gas quantities that were supplied to metered end consumers at all feed-in points in the ONTRAS network area, VNG still achieved market shares between [...] in the years 2006 and 2007. In 2008, the share was between [...], in 2009 between [...], and in 2010 between [...]. The market share losses recorded by VNG demonstrate that its market position in the supply of distributors in the ONTRAS network area has come under significant pressure.</w:t>
      </w:r>
    </w:p>
    <w:p>
      <w:r>
        <w:t>(158) WINGAS is also active in the supply of distributors in the ONTRAS network area. However, the overlap is minimal. The market shares were significantly below 3% in the years 2008 to 2010. E.ON and RWE are also active in the supply of distributors in the ONTRAS network area. E.ON's share was between 10% and 20% for the years 2008, 2009, and 2010, while RWE's share during the same period was between 0% and 10%. Given the remaining competitors, it is therefore not expected that the present merger project will significantly strengthen VNG's dominant position in the supply of distributors in the ONTRAS network area in a merger control-relevant manner.</w:t>
      </w:r>
    </w:p>
    <w:p>
      <w:r>
        <w:t>bb) Supply of distributors nationwide</w:t>
        <w:br/>
        <w:t>(159) Both VNG and WINGAS are active in supplying regional natural gas companies and distributors in the two remaining market areas NetConnect and GASPOOL since October 2011, and thus nationwide.</w:t>
      </w:r>
    </w:p>
    <w:p>
      <w:r>
        <w:t>(160) The decision-making department has, in the course of its investigations, queried the gas quantities supplied to natural gas companies and distributors in GWh for the business years 2008, 2009, and 2010 from the companies E.ON, WINGAS/WIEH, RWE, VNG, ExxonMobil Gas Marketing Deutschland, Shell Erdgas Marketing, EGM, GDF Suez E&amp;P, and ENI, separated by the market areas existing in the respective years, and evaluated the data. For the calculation of the market volumes, the following sales quantities were aggregated: the sales quantities from E.ON Ruhrgas, WINGAS, VNG, RWE, ExxonMobil Gas Marketing Deutschland, Shell Erdgas Marketing, EGM, GDF Suez, and ENI, which were supplied to regional natural gas companies and distributors. The sales quantities supplied by the regional natural gas companies EWE, Gasversorgung Süddeutschland GmbH, Bayerngas GmbH, Gasunion GmbH, ENOVOS, E.ON Avacon AG, Ferngas Nordbayern, and Erdgasversorgungsgesellschaft Thüringen-Sachsen to distributors were not taken into account. These companies obtain their gas from the supra-regional natural gas companies. These quantities are therefore already included in the aggregated sales quantities of the supra-regional natural gas companies. The same applies to the sales from E.ON Bayern, E.ON Edis, E.ON Hanse, E.ON Mitte, E.ON Westfalen Weser, and E.ON Thüringen to distributors. To avoid double counting regarding the also queried supply business of the supra-regional natural gas companies, sales quantities that ExxonMobil Gas Marketing Deutschland and Shell Erdgas Marketing supply as natural gas producers to supra-regional natural gas companies based on long-term supply contracts were not included in the calculation.</w:t>
      </w:r>
    </w:p>
    <w:p>
      <w:r>
        <w:t>(161) The following market share distribution for the market areas NetConnect and GASPOOL results for the years 2008, 2009, and 2010:</w:t>
        <w:br/>
        <w:t>NetConnect 2008 2009 2010</w:t>
        <w:br/>
        <w:t>VNG 0% - 5% 0% - 5% 5% - 10%</w:t>
        <w:br/>
        <w:t>WINGAS 0% - 5% 0% - 5% 0% - 5%</w:t>
        <w:br/>
        <w:t>E.ON 70% - 75% 55% - 60% 50% - 55%</w:t>
        <w:br/>
        <w:t>RWE 10% - 15% 20% - 25% 20% - 25%</w:t>
        <w:br/>
        <w:t>ExxonMobil 0% - 5% 0% – 5% 0% – 5%</w:t>
        <w:br/>
        <w:t>Shell 0% - 5% 0% - 5% 0% - 5%</w:t>
        <w:br/>
        <w:t>EGM 0% - 5% 0% - 5% 0% - 5%</w:t>
        <w:br/>
        <w:t>Others 5% - 10% 5% - 10% 5% - 10%</w:t>
      </w:r>
    </w:p>
    <w:p>
      <w:r>
        <w:rPr>
          <w:b/>
        </w:rPr>
        <w:t>[Pages 52–54]</w:t>
      </w:r>
    </w:p>
    <w:p>
      <w:r>
        <w:t>- 52 -</w:t>
        <w:br/>
        <w:t>GASPOOL 2008 2009 2010</w:t>
        <w:br/>
        <w:t>VNG 25% - 30% 20% - 25% 20% - 25%</w:t>
        <w:br/>
        <w:t>WINGAS 30% - 35% 25% - 30% 20% - 25%</w:t>
        <w:br/>
        <w:t>E.ON 10% - 15% 10% - 15% 10% - 15%</w:t>
        <w:br/>
        <w:t>RWE 0% - 5% 5% - 10% 5% - 10%</w:t>
        <w:br/>
        <w:t>ExxonMobil 15% - 20% 15% – 20% 10% – 15%</w:t>
        <w:br/>
        <w:t>Shell 0% - 5% 0% - 5% 0% - 5%</w:t>
        <w:br/>
        <w:t>EGM 0% - 5% 0% - 5% 0% - 5%</w:t>
        <w:br/>
        <w:t>Others 0% - 5% 5% - 10% 5% - 10%</w:t>
        <w:br/>
        <w:t>(162) When considering the market areas, there is a very strong position of E.ON in the NetConnect market area and also a strong position of VNG/WINGAS in the GASPOOL market area. As already presented in paragraphs 149 to 153 in the context of the geographical market definition, the distribution of sales across the respective market areas is indeed significant for assessing the sales strength of the established supra-regional natural gas companies, but a nationwide delineation is ultimately more sensible. Therefore, a competitive assessment should be conducted taking into account the nationwide market position.</w:t>
        <w:br/>
        <w:t>(163) If one adds up the sales volumes in the NetConnect and GASPOOL market areas, the following nationwide market share distribution emerges for the years 2008, 2009, and 2010:</w:t>
        <w:br/>
        <w:t>Nationwide 2008 2009 2010</w:t>
        <w:br/>
        <w:t>VNG 10% - 15% 10% - 15% 15% - 20%</w:t>
        <w:br/>
        <w:t>WINGAS 10% - 15% 10% - 15% 10% - 15%</w:t>
        <w:br/>
        <w:t>E.ON 45% - 50% 35% - 40% 30% - 35%</w:t>
        <w:br/>
        <w:t>RWE 5% - 10% 15% - 20% 15% - 20%</w:t>
      </w:r>
    </w:p>
    <w:p>
      <w:r>
        <w:t>- 53 -</w:t>
        <w:br/>
        <w:t>ExxonMobil 5% - 10% 5% – 10% 5% – 10%</w:t>
        <w:br/>
        <w:t>Shell 0% - 5% 0% - 5% 0% - 5%</w:t>
        <w:br/>
        <w:t>EGM 0% - 5% 0% - 5% 0% - 5%</w:t>
        <w:br/>
        <w:t>Others 5% - 10% 5% - 10% 5% - 10%</w:t>
        <w:br/>
        <w:t>(164) Accordingly, E.ON is the market leader, WINGAS/VNG is number 2, followed by RWE and ExxonMobil Gas Marketing Deutschland, Shell Erdgas Marketing, and EGM. The absolute market share gap between E.ON and WINGAS/VNG was still 20% in 2008, 10% in 2009, and 5% in 2010. The market share of E.ON was twice as high as that of RWE for the years 2009 and 2010, while in 2008 it was still four times as high.</w:t>
        <w:br/>
        <w:t>(165) Although the market share thresholds of the oligopoly presumption of § 19 Abs. 3 S. 2 Nr. 1 GWB are met, as E.ON, WINGAS, and VNG have a nationwide share of over 50% in supplying distributors, there are no indications that the present merger creates opportunities and incentives for E.ON and WINGAS/VNG to coordinate their behavior in the future or to facilitate or stabilize an existing behavioral coordination, especially considering the detailed account of the history of the establishment of WINGAS in paragraphs 23 to 30, which was founded by BASF and Gazprom in competition with the companies Ruhrgas, BEB, and Thyssengas, which were found by the Commission to be jointly dominant in the German supra-regional natural gas market, and which has established a high-pressure pipeline network for its own distribution business in Germany.</w:t>
        <w:br/>
        <w:t>(166) In a competitive assessment of the market position of E.ON on the one hand and WINGAS/VNG on the other hand, it should be noted that there are significant structural differences between E.ON, WINGAS, and VNG. E.ON is a vertically integrated energy company that supplies distributors at the downstream levels with natural gas through subsidiaries such as E.ON Avacon, E.ON Bayern, E.ON Edis, E.ON Hanse, E.ON Mitte, E.ON Westfalen Weser, E.ON Thüringen, and Ferngas Nordbayern, and supplies end customers with natural gas through nearly 100 participations in municipal utilities and regional distributors. In contrast, WINGAS is a pure gas trader that supplies regional natural gas companies and distributors with natural gas but does not hold stakes in such companies. VNG holds a total of five stakes in distributors and municipal utilities, thus also having a very low degree of vertical integration.</w:t>
        <w:br/>
        <w:t>(167) The significantly different degree of vertical integration of E.ON on the one hand and WINGAS and VNG on the other hand also affects the market shares listed in paragraph 163, as E.ON operates at the downstream levels of the supra-regional natural gas stage through its subsidiaries and participations. This means that E.ON's market position is overall significantly stronger than what is reflected in the market share. Because the market share only considers sales volumes from E.ON Ruhrgas to regional natural gas companies and distributors.</w:t>
        <w:br/>
        <w:t>(168) With regard to the overall supra-regional natural gas level, structural improvements have occurred since the decision of the EU Commission in the case COMP/M.1383 EXXON/MOBIL, which had established a collective dominant position of Ruhrgas, BEB, and Thyssengas in the German supra-regional natural gas market.119 Because nearly all interconnections that existed in 1999 between E.ON, RWE, VNG, ExxonMobil Gas Marketing Deutschland, and Shell Erdgas Marketing have been eliminated.</w:t>
        <w:br/>
        <w:t>(169) Meanwhile, ExxonMobil Gas Marketing Deutschland and Shell Erdgas Marketing Deutschland have each taken over 50% of the gas distribution business of BEB. BEB has ceased its activities as a natural gas trading company, and the BEB network has been taken over by Gasunie. In 2000, RWE Power AG acquired Exxon’s 25% stake in Thyssengas, and three years later, it acquired Shell Petroleum N.V.’s 25% stake in Thyssengas. Thus, 100% of the Thyssengas shares were owned by RWE. As part of the restructuring of the RWE Group in 2004, the businesses of Thyssengas GmbH were taken over by RWE Energy AG and its subsidiaries. Thyssengas GmbH remained as a non-operational holding company for significant gas infrastructures. This has since been sold to a financial investor. Ruhrgas, E.ON, and BEB are no longer involved in VNG. The interconnection between Ruhrgas and BEB no longer exists. The interconnection between VNG and E.ON Ruhrgas through the parity joint venture Erdgasversorgungsgesellschaft Thüringen-Sachsen mbH has also been dissolved. The gas distribution business was taken over by the shareholders at 50% each. Erdgasversorgungsgesellschaft Thüringen-Sachsen mbH ceased its distribution business on April 1, 2011, and is now a pure network company.</w:t>
        <w:br/>
        <w:t>119</w:t>
        <w:br/>
        <w:t>See Commission decision of September 29, 1999, para. 258</w:t>
      </w:r>
    </w:p>
    <w:p>
      <w:r>
        <w:rPr>
          <w:b/>
        </w:rPr>
        <w:t>[Pages 55–57]</w:t>
      </w:r>
    </w:p>
    <w:p>
      <w:r>
        <w:t>- 55 -</w:t>
        <w:br/>
        <w:t>(170) The participation of BEB, ExxonMobil Gas Marketing Deutschland, GDF Suez E&amp;P, RWE Dea, and Wintershall in EGM remains, which processes natural gas produced by its shareholders from northern German production and delivers it in direct business as an independent contractual partner and in the instruction business in fulfillment of contractual obligations of its shareholders to supra-regional natural gas companies. According to the investigations of the decision-making department, no structural connection is established between Wintershall and E.ON through EGM, as Wintershall traditionally does not supply natural gas to E.ON.</w:t>
        <w:br/>
        <w:t>(171) Therefore, it is not expected that the present merger project will lead to the creation or strengthening of a joint dominant market position.</w:t>
        <w:br/>
        <w:t>3. Supply to metered end consumers by supra-regional natural gas companies</w:t>
        <w:br/>
        <w:t>a) Relevant market definition</w:t>
        <w:br/>
        <w:t>(172) VNG and WINGAS are both active in supplying metered end consumers.</w:t>
        <w:br/>
        <w:t>(173) In the context of the "RWE/ExxonMobil" proceedings in 2009, the decision-making department found, based on the market investigations conducted among natural gas distributors, that further differentiation within metered end consumers is no longer indicated in the context of merger control and therefore it cannot be assumed that there are two relevant markets for the supply of industrial customers and power plant customers.120</w:t>
        <w:br/>
        <w:t>(174) The supply of metered end consumers by supra-regional and regional natural gas companies constitutes a distinct relevant market based on the distinction between the supply of distributors and end customers of natural gas. For the reasons outlined in paragraph 78, it is also assumed that there is a single relevant market for L-gas and H-gas for the supply of metered end consumers by supra-regional and regional natural gas companies. This market does not include the supply of metered end consumers by regional and local distributors.</w:t>
        <w:br/>
        <w:t>120</w:t>
        <w:br/>
        <w:t>http://www.bundeskartellamt.de/wDeutsch/download/pdf/Fusion/Fusion09/B8-34-09.pdf?navid=80</w:t>
      </w:r>
    </w:p>
    <w:p>
      <w:r>
        <w:t>- 56 -</w:t>
        <w:br/>
        <w:t>(175) Both RWE and E.ON stated in their comments on the draft decision dated January 25, 2012, that in their view this market definition is not convincing and contradicts the principles of market definition. The starting point of market definition is the interchangeability of a product from the perspective of the market counterpart. From the perspective of RLM customers, gas supplies from supra-regional natural gas companies, regional natural gas companies, and regional and local distributors are, of course, interchangeable.</w:t>
        <w:br/>
        <w:t>(176) The market definition made from the perspective of suppliers is, however, necessary from the perspective of the decision-making department to determine which competitive forces the companies are exposed to at the respective levels. It is factually appropriate to group the supply of metered end consumers by supra-regional natural gas companies that produce or import natural gas, and by regional natural gas companies and the large distributors supplied by supra-regional natural gas companies into a relevant market. This is because the supply of metered end consumers by regional natural gas companies and by large distributors supplied by supra-regional natural gas companies occurs in such a way that the supra-regional natural gas company acts as a gas supplier to the regional natural gas company and the large distributors it supplies, providing natural gas for the supply of metered end consumers. In this respect, it is indirectly a supply of metered end consumers by supra-regional natural gas companies.</w:t>
        <w:br/>
        <w:t>(177) In contrast, the supply of metered end consumers by regional and local distributors is viewed from the perspective of supra-regional natural gas companies as distributor sales. If the supply of metered end consumers by supra-regional and regional natural gas companies as well as regional and local distributors were placed in one market, the natural gas sales could not be reliably represented. This is because such a market would consist of direct supply of metered end consumers by supra-regional and regional natural gas companies and the distributor sales of the supra-regional and regional natural gas companies, which regional and local distributors have delivered to metered end consumers. This would result in the market volume becoming so large that the market share of the supra-regional natural gas companies could not be accurately represented.</w:t>
      </w:r>
    </w:p>
    <w:p>
      <w:r>
        <w:t>- 57 -</w:t>
        <w:br/>
        <w:t>b) Spatial market definition</w:t>
        <w:br/>
        <w:t>(178) In spatial terms, the decision-making department has consistently defined the relevant gas markets according to the established distribution areas of the natural gas companies, regional suppliers, and municipal utilities, whereby these areas are regularly represented by the respective network area of the network company associated with the affected gas supplier.</w:t>
        <w:br/>
        <w:t>(179) The Bundeskartellamt has reviewed the network-related market definition in the past three years in the proceedings "EnBW/EWE"121 and "EnBW/VNG"122 as well as "RWE/SW Lingen/SW Radevormwald"123 against the backdrop of the subsequent regulation of gas networks and the increasing reduction of market areas. In doing so, the Bundeskartellamt has concluded that a general finding that a "transmission mechanism" will develop to such an extent based on the market opening measures of the Federal Network Agency and the Bundeskartellamt that would allow for a cross-network or even nationwide market definition cannot yet be made.</w:t>
        <w:br/>
        <w:t>(180) The decision-making department has further investigated the question of spatial market definition in the course of its investigations and has reached the following conclusion.</w:t>
        <w:br/>
        <w:t>(181) For the supply of metered end consumers by supra-regional natural gas companies, a nationwide market definition could already be appropriate. The decision-making department does not consider a market area-related market definition to be necessary for the reasons outlined in paragraphs 149 to 153.</w:t>
        <w:br/>
        <w:t>(182) However, the decision-making department will continue to examine market conditions as a corrective in the established distribution areas of the natural gas companies, regional suppliers, and municipal utilities in the coming years, whereby these areas are regularly represented by the respective network area of the network company associated with the affected gas supplier.</w:t>
        <w:br/>
        <w:t>121</w:t>
        <w:br/>
        <w:t>http://www.bundeskartellamt.de/wDeutsch/download/pdf/Fusion/Fusion09/B8-96-08.pdf</w:t>
        <w:br/>
        <w:t>122</w:t>
        <w:br/>
        <w:t>http://www.bundeskartellamt.de/wDeutsch/download/pdf/Fusion/Fusion09/B8-67-09.pdf</w:t>
        <w:br/>
        <w:t>123</w:t>
        <w:br/>
        <w:t>http://www.bundeskartellamt.de/wDeutsch/download/pdf/Fusion/Fusion10/B8-109-09.pdf</w:t>
      </w:r>
    </w:p>
    <w:p>
      <w:r>
        <w:rPr>
          <w:b/>
        </w:rPr>
        <w:t>[Pages 58–60]</w:t>
      </w:r>
    </w:p>
    <w:p>
      <w:r>
        <w:t>- 58 -</w:t>
        <w:br/>
        <w:t>(183) As a result, the question of spatial market definition can also remain open. This is because the competitive assessment does not lead to a different outcome in any of the alternative market definitions.</w:t>
        <w:br/>
        <w:t>c) No creation or strengthening of dominant positions</w:t>
        <w:br/>
        <w:t>aa) Supply to metered end consumers in the ONTRAS network area</w:t>
        <w:br/>
        <w:t>(184) It cannot be assumed that the still existing dominant position of VNG in supplying metered end consumers in the ONTRAS network area will be secured by the present merger.</w:t>
        <w:br/>
        <w:t>(185) When calculating the market volume based on the amount of gas supplied to metered end consumers at all exit points in the ONTRAS network area, VNG achieved market shares between [...] in the years 2006 and 2007. In 2008, the share was between [...], in 2009 it was [...] and in 2010 it was [...]. The market share losses recorded by VNG demonstrate that its market position has also come under pressure in supplying metered end consumers in the ONTRAS network area. However, the market position remains very strong. It is primarily due to the supply to a single large industrial end consumer.</w:t>
        <w:br/>
        <w:t>(186) WINGAS is not active in supplying metered end consumers in the ONTRAS network area, so there is no overlap. An enhancement of VNG's dominant position in supplying metered end consumers in the ONTRAS network area due to the elimination of potential competition from WINGAS is not to be expected. Initially, the elimination of potential competition in a situation of a provider that still holds a monopoly has a completely different significance than for a provider that has lost about 15% market share over three years. Furthermore, there are also current alternatives. With E.ON and RWE, both of which are active in supplying metered end consumers in the ONTRAS network area, two strong current competitors remain in the market.</w:t>
        <w:br/>
        <w:t>(187) Given the remaining competitors E.ON and RWE, which were ranked number 1 and 4 in terms of sales across Germany in 2010, it cannot be assumed that the existing dominance of VNG in supplying metered end consumers in the ONTRAS network area will be significantly strengthened by the elimination of potential competition from WINGAS in a merger law-relevant manner.</w:t>
        <w:br/>
        <w:t>bb) Supply to metered end consumers nationwide</w:t>
        <w:br/>
        <w:t>(188) Both VNG and WINGAS are active in supplying metered end consumers in the two remaining market areas NetConnect and GASPOOL since October 2011, and thus nationwide.</w:t>
        <w:br/>
        <w:t>(189) The decision-making department has, in the course of its investigations with the companies E.ON, WINGAS/WIEH, RWE, VNG, ExxonMobil Gas Marketing Deutschland, Shell Erdgas Marketing, EGM, GDF Suez E&amp;P, and ENI, queried the gas quantities supplied to metered end consumers in GWh for the business years 2008, 2009, and 2010, separately according to the market areas existing in the respective years, and evaluated the data. For the calculation of market volumes, the following sales quantities were aggregated: the sales quantities from E.ON Ruhrgas, WINGAS, VNG, RWE, ExxonMobil Gas Marketing Deutschland, Shell Erdgas Marketing, EGM, GDF Suez, and ENI, which supplied to metered end consumers. Also included were sales quantities supplied by the regional long-distance gas companies EWE, Gasversorgung Süddeutschland GmbH, Bayerngas GmbH, Gasunion GmbH, ENOVOS AG, Ferngas Nordbayern, and Erdgasversorgungsgesellschaft Thüringen-Sachsen to metered end consumers, as well as corresponding sales from E.ON Bayern, E.ON Edis, E.ON Hanse, E.ON Mitte, E.ON Westfalen Weser, and E.ON Thüringen.</w:t>
        <w:br/>
        <w:t>(190) The following market share distribution for the market areas NetConnect and GASPOOL results for the years 2008, 2009, and 2010:</w:t>
        <w:br/>
        <w:t>NetConnect 2008 2009 2010</w:t>
        <w:br/>
        <w:t>VNG 0% - 5% 0% - 5% 0 - 5%</w:t>
        <w:br/>
        <w:t>WINGAS 0% - 5% 0% - 5% 0% - 5%</w:t>
        <w:br/>
        <w:t>E.ON 80% - 85% 80% - 85% 75% - 80%</w:t>
      </w:r>
    </w:p>
    <w:p>
      <w:r>
        <w:t>- 60 -</w:t>
        <w:br/>
        <w:t>RWE 10% - 15% 10% - 15% 10% - 15%</w:t>
        <w:br/>
        <w:t>ExxonMobil 0% - 5% 0% - 5% 0% - 5%</w:t>
        <w:br/>
        <w:t>Shell 0% - 5% 0% - 5% 0% - 5%</w:t>
        <w:br/>
        <w:t>EGM 0% - 5% 0% - 5% 0% - 5%</w:t>
        <w:br/>
        <w:t>Others 5% - 10% 5% - 10% 5% - 10%</w:t>
        <w:br/>
        <w:t>GASPOOL 2008 2009 2010</w:t>
        <w:br/>
        <w:t>VNG 20% - 25% 15% - 20% 15% - 20%</w:t>
        <w:br/>
        <w:t>WINGAS 20% - 25% 15% - 20% 15% - 20%</w:t>
        <w:br/>
        <w:t>E.ON 20% - 25% 25% - 30% 25% - 30%</w:t>
        <w:br/>
        <w:t>RWE 5% - 10% 5% - 15% 5% - 15%</w:t>
        <w:br/>
        <w:t>ExxonMobil 0% - 5% 0% - 5% 0% - 5%</w:t>
        <w:br/>
        <w:t>Shell 5% - 10% 5% - 10% 5% - 10%</w:t>
        <w:br/>
        <w:t>EGM 0% - 5% 0% - 5% 0% - 5%</w:t>
        <w:br/>
        <w:t>Others 10% - 15% 5% - 10% 5% - 10%</w:t>
        <w:br/>
        <w:t>(191) When considering the market areas, a very strong position of E.ON in the NetConnect market area and a strong position of VNG/WINGAS in the GASPOOL market area emerge. However, as already presented in paragraphs 149 to 153, this sales distribution is indeed significant for assessing the sales strength of the established supra-regional long-distance gas companies, but a nationwide market definition is ultimately more sensible. Therefore, a competitive assessment is carried out taking into account their nationwide market position.</w:t>
        <w:br/>
        <w:t>(192) When aggregating sales volumes in the market areas NetConnect and GASPOOL, the following market share distribution results nationwide for the years 2008, 2009, and 2010:</w:t>
      </w:r>
    </w:p>
    <w:p>
      <w:r>
        <w:rPr>
          <w:b/>
        </w:rPr>
        <w:t>[Pages 61–63]</w:t>
      </w:r>
    </w:p>
    <w:p>
      <w:r>
        <w:t>- 61 -</w:t>
        <w:br/>
        <w:t>Nationwide 2008 2009 2010</w:t>
        <w:br/>
        <w:t>VNG 5% - 10% 10% - 15% 10% - 15%</w:t>
        <w:br/>
        <w:t>WINGAS 10% - 15% 10% - 15% 10% - 15%</w:t>
        <w:br/>
        <w:t>E.ON 50% - 55% 50% - 55% 50% - 55%</w:t>
        <w:br/>
        <w:t>RWE 10% - 15% 10% - 15% 10% - 15%</w:t>
        <w:br/>
        <w:t>ExxonMobil 0% - 5% 0% - 5% 0% - 5%</w:t>
        <w:br/>
        <w:t>Shell 0% - 5% 0% - 5% 0% - 5%</w:t>
        <w:br/>
        <w:t>EGM 0% - 5% 0% - 5% 0% - 5%</w:t>
        <w:br/>
        <w:t>Others 5% - 10% 5% - 10% 5% - 10%</w:t>
      </w:r>
    </w:p>
    <w:p>
      <w:r>
        <w:t>(193) Accordingly, E.ON is the market leader, WINGAS/VNG is number 2, followed by RWE and ExxonMobil Gas Marketing Deutschland, Shell Erdgas Marketing, and EGM.</w:t>
      </w:r>
    </w:p>
    <w:p>
      <w:r>
        <w:t>(194) The market share distribution is clearly asymmetric. E.ON's share is more than twice as high as the combined share of WINGAS and VNG and more than four times as high as RWE's share. Given this market structure and considering the considerations listed under paragraphs 165 to 170, it is not expected that the present merger will lead to the emergence of a single market dominance by WINGAS/VNG or to the emergence of a joint market dominance by E.ON and WINGAS/VNG.</w:t>
      </w:r>
    </w:p>
    <w:p>
      <w:r>
        <w:t>4. Operation of Underground Natural Gas Storage</w:t>
        <w:br/>
        <w:t>a) Relevant Market Definition</w:t>
        <w:br/>
        <w:t>(195) Both WINGAS and GPG as well as VNG operate underground natural gas storage facilities. Natural gas storage is part of the gas network infrastructure and serves to balance seasonal and daily fluctuations in supply and demand for natural gas and to ensure security in case of supply shortages. The physical storage of natural gas is the most significant flexibility instrument. In principle, natural gas storage facilities are filled during warm months when supply exceeds demand and emptied when demand exceeds supply, such as during cold weather or peak times, to cover the additional demand. In addition to balancing daily and seasonal consumption peaks, the use of underground natural gas storage also serves to optimize procurement by taking advantage of fluctuating gas prices.</w:t>
      </w:r>
    </w:p>
    <w:p>
      <w:r>
        <w:t>(196) In terms of types of gas storage, a distinction is made depending on the regional geological conditions between porous and cavernous storage, which are used as underground storage for natural gas. Porous storage can either be aquifer storage or depleted oil or gas reservoirs. They are preferably suited for large quantities of gas and are generally used to balance seasonal demand fluctuations in the sale of natural gas. As cavernous storage, either mined salt caverns or exhausted mines are used domestically. Salt caverns are particularly well suited as peak load storage because they allow for high withdrawal rates.</w:t>
      </w:r>
    </w:p>
    <w:p>
      <w:r>
        <w:t>(197) The EU Commission concluded in case COMP/M.1383 EXXON/MOBIL that the operation of underground storage constitutes a relevant market124. In two further decisions, the EU Commission dealt with the question of the extent to which porous and cavernous storage can be considered interchangeable. Although the market investigation provided indications of a certain interchangeability, the exact relevant market definition was left open in each case125.</w:t>
      </w:r>
    </w:p>
    <w:p>
      <w:r>
        <w:t>(198) According to the opinion of the decision-making department, for the question of whether porous and cavernous storage could be considered interchangeable in a nationwide spatial market definition, it depends on how they meet the different flexibility needs. Flexibility needs can be distinguished between seasonal flexibility, short-term flexibility, and emergency supply flexibility. From the perspective of demand for flexibility services, porous and cavernous storage combined are capable of ensuring seasonal and short-term flexibility as well as emergency supply flexibility. Therefore, the decision-making department assumes a uniform relevant storage market for a nationwide spatial market definition that encompasses both types of underground storage, namely porous and cavernous storage.</w:t>
      </w:r>
    </w:p>
    <w:p>
      <w:r>
        <w:t>(199) The Federal Network Agency suggested in its statement of January 23, 2012, regarding the draft decision, that it should be examined within the framework of the relevant market definition whether storage products can be substituted by other gas economic products from the demand side that allow the demander flexible procurement (e.g., flexible supply contracts or structured self-procurement at the virtual point through active balancing group management).</w:t>
      </w:r>
    </w:p>
    <w:p>
      <w:r>
        <w:t>(200) In the decision Total/GDF, the EU Commission concluded that other flexibility instruments, such as flexible supply contracts or sales to customers receiving interruptible supplies, cannot sufficiently fulfill the same functions as physical storage126. In the decision DONG/Elsam/Energi E2, the EU Commission dealt extensively with various gas flexibility instruments and categorized them into the following five groups: storage in special storage facilities, interruptible or otherwise modifiable customer demand, flexible supply contracts based on imports, domestic production, or supply contracts on the domestic secondary market, flexible trading of gas through gas trading platforms or bilaterally, and line pack, i.e., storage in transmission lines by increasing or decreasing the gas pressure in the pipelines127. The EU Commission concluded within the framework of the relevant market definition that there are clearly differences regarding the appropriate degree of substitutability of the various options for achieving this flexibility for the different types of flexibility needs and considered it wiser not to exclude a narrow relevant market for storage services in special storage facilities128. However, the exact relevant market was left open.</w:t>
      </w:r>
    </w:p>
    <w:p>
      <w:r>
        <w:t>(201) The decision-making department does not see itself in a position, in the remaining short time until the expiration of the procedural deadline on January 31, 2012, to determine through appropriate market surveys whether storage products can be substituted by other gas economic products from the demand side that allow the demander flexible procurement126.</w:t>
      </w:r>
    </w:p>
    <w:p>
      <w:r>
        <w:rPr>
          <w:b/>
        </w:rPr>
        <w:t>[Pages 64–66]</w:t>
      </w:r>
    </w:p>
    <w:p>
      <w:r>
        <w:t>- 64 -</w:t>
        <w:br/>
        <w:t>enable. However, the question can also be left open in the present case, as there are no competitive concerns even when delineating a narrow relevant market for storage services in specific storage facilities.</w:t>
      </w:r>
    </w:p>
    <w:p>
      <w:r>
        <w:t>b) Spatial Market Definition</w:t>
        <w:br/>
        <w:t>(202) The EU Commission concluded in case COMP/M.1383 EXXON/MOBIL that, with regard to spatial market definition, the maximum distance from the storage facility to the end consumer is 200 km for porous storage facilities and 50 km for cavern storage facilities.129 Based on this spatial market definition, there would be no overlaps between the natural gas storage facilities of VNG on one hand and those of WINGAS and GPG on the other.</w:t>
      </w:r>
    </w:p>
    <w:p>
      <w:r>
        <w:t>(203) The Federal Network Agency, in its statement on the draft decision dated January 23, 2012, as well as RWE in its statement dated January 25, 2012, is of the opinion that this decision from 1999 cannot be transferred to the current market conditions. Due to the changes in the legal framework, the settlement models, and developments at the generation and trading levels that have occurred since then, larger spatial markets should be assumed. RWE advocates in its statement for a nationwide market definition in line with the extended delineation for gas deliveries.</w:t>
      </w:r>
    </w:p>
    <w:p>
      <w:r>
        <w:t>(204) In two further decisions concerning Belgium130 and Denmark131, the EU Commission delineated a national market for the operation of underground storage facilities. Based on a nationwide market definition, there would be overlaps between the natural gas storage facilities in the form of porous and cavern storage of VNG on one hand and those of WINGAS and GPG on the other.</w:t>
      </w:r>
    </w:p>
    <w:p>
      <w:r>
        <w:t>(205) It is questionable whether the distance from the storage facility to the end customer is still significant for the spatial market definition of underground natural gas storage. This depends on whether the supply of an end customer from a gas storage facility is only economically viable within a certain radius. For underground storage facilities that are capacity-wise and accounting-wise integrated into the market area, i.e., into a network operator's cross-entry-exit system, the physical transport distance from the natural gas storage facility to the end consumer is likely to play no role. Furthermore, as already outlined in paragraphs 149 to 153, there are no significant competitive barriers between the two market areas due to physical or contractual bottlenecks, nor due to the aggregation of network fees, which objectively restrict the exchange possibilities of the demanders to the area of the respective market area.</w:t>
      </w:r>
    </w:p>
    <w:p>
      <w:r>
        <w:t>(206) In contrast to regulated network access, access to gas storage facilities according to § 26 EnWG is based on contractual terms in accordance with § 28 EnWG. According to these provisions, storage operators are obliged to grant other companies access to their storage facilities and ancillary services without discrimination. There is no obligation to apply a market-oriented congestion management of storage capacities. In March 2005, market participants and the European Commission (European Regulators Group for Electricity &amp; Gas) agreed on the "Guidelines of Good Practice of Storage System Operators (GGPSSO),"132 compliance with which is on a voluntary basis, so that storage access is subject to less stringent regulation than network access.</w:t>
      </w:r>
    </w:p>
    <w:p>
      <w:r>
        <w:t>(207) These guidelines address, on the one hand, the direct marketing of storage capacities by the storage operator and provide the framework for access to storage facilities, the publication of information, the design of storage products, the structuring of fees, and congestion management. On the other hand, the guidelines include regulations for dealing with unused storage capacities. According to No. 9 GGPSSO, these should be allowed to be traded without restriction. In Germany, a platform for the secondary trading of storage capacities, Store-x (Storage Capacity Exchange GmbH, Leipzig),133 has been established, where storage customers can acquire capacities through various procedures, such as auctions or immediate purchase procedures. Additionally, storage customers have the option to obtain storage offers from various storage operators through a search procedure. In 2010, over 2 billion m³ of storage capacity were listed on the Store-x platform, and in 2011, over 5 billion m³ of storage capacity were listed.</w:t>
      </w:r>
    </w:p>
    <w:p>
      <w:r>
        <w:t>132</w:t>
        <w:br/>
        <w:t>http://www.ergeg.org/portal/page/portal/ERGEG_HOME/ERGEG_DOCS/ERGEG_DOCUMENTS_NEW/GAS_FOCUS_GROUP/GGPSSO_2005-03-23_FINAL.PDF</w:t>
      </w:r>
    </w:p>
    <w:p>
      <w:r>
        <w:t>133 Shareholders of Store-x are VNG (38%), E.ON Gas Storage GmbH (38%), RWE Transgas, a.s. (12%), and the energy exchange EEX (European Energy Exchange AG, 12%), www.store-x.net</w:t>
      </w:r>
    </w:p>
    <w:p>
      <w:r>
        <w:t>- 66 -</w:t>
        <w:br/>
        <w:t>(208) These considerations suggest defining the market for the operation of underground natural gas storage facilities independently of distance and therefore on a nationwide basis.</w:t>
      </w:r>
    </w:p>
    <w:p>
      <w:r>
        <w:t>c) No Creation or Strengthening of a Dominant Position</w:t>
        <w:br/>
        <w:t>(209) The decision-making department, in the course of its investigations with the companies E.ON, WINGAS/WIEH, VNG, ExxonMobil Gas Marketing Deutschland134, Shell Erdgas Marketing, EGM, GDF Suez E&amp;P, Statoil Deutschland GmbH, and ENI, inquired about the storage capacities available to these companies. Based on a maximum working gas volume of 21.3 billion cubic meters as of December 31, 2010,135 the following market share distribution for the fiscal year 2010 emerges:</w:t>
      </w:r>
    </w:p>
    <w:p>
      <w:r>
        <w:t>Company Share in %</w:t>
        <w:br/>
        <w:t>E.ON 40% - 45%</w:t>
        <w:br/>
        <w:t>WINGAS/GPG 15% - 20%</w:t>
        <w:br/>
        <w:t>VNG 10% - 15%</w:t>
        <w:br/>
        <w:t>RWE 5% - 10%</w:t>
        <w:br/>
        <w:t>GDF Suez136 5% - 10%</w:t>
        <w:br/>
        <w:t>EWE 5% - 10%</w:t>
      </w:r>
    </w:p>
    <w:p>
      <w:r>
        <w:t>(210) The market share distribution is asymmetric. E.ON's share is nearly 10% higher than the combined share of WINGAS/GPG and VNG and more than four times as high as the share of RWE, GDF Suez, and EWE. Given this market structure and taking into account the considerations outlined in paragraphs 165 to 170, it is not expected that the present merger will lead to the emergence of a single market dominance by WINGAS/VNG or to the emergence of a joint market dominance by E.ON and WINGAS/VNG.</w:t>
      </w:r>
    </w:p>
    <w:p>
      <w:r>
        <w:t>134</w:t>
        <w:br/>
        <w:t>ExxonMobil Gasspeicher Deutschland GmbH transferred all its storage activities to Storengy Deutschland Infrastructure GmbH, a subsidiary of GDF Suez, as of August 31, 2011.</w:t>
      </w:r>
    </w:p>
    <w:p>
      <w:r>
        <w:t>135</w:t>
        <w:br/>
        <w:t>Underground gas storage in Germany (as of January 1, 2011), p. 416, available at http://www.lbeg.niedersachsen.de/portal/live.php?navigation_id=797&amp;article_id=898&amp;_psmand=4</w:t>
      </w:r>
    </w:p>
    <w:p>
      <w:r>
        <w:t>136</w:t>
        <w:br/>
        <w:t>Including the storage activities of ExxonMobil Gasspeicher Deutschland GmbH.</w:t>
      </w:r>
    </w:p>
    <w:p>
      <w:r>
        <w:rPr>
          <w:b/>
        </w:rPr>
        <w:t>[Pages 67–69]</w:t>
      </w:r>
    </w:p>
    <w:p>
      <w:r>
        <w:t>- 67 -</w:t>
        <w:br/>
        <w:t>(211) In addition, the decision-making department, at the suggestion of the Federal Network Agency, has further investigated to what extent storage facilities located abroad but directly or indirectly connected to the German gas networks (e.g., the natural gas storage facility Haidach in Austria) should be included in the spatial market definition. However, due to the short remaining time frame, this could not be substantially determined.</w:t>
      </w:r>
    </w:p>
    <w:p>
      <w:r>
        <w:t>(212) The inclusion of the storage capacities available to WINGAS and GPG in Haidach would, according to the assessment of the decision-making department, not lead to a different evaluation than that presented in paragraph 210. The same applies to the inclusion of the new natural gas storage facility 7Fields, a joint venture of E.ON Gas Storage GmbH and RAG, located in Upper Austria and Salzburg. RAG is the technical operator. The marketing of all storage capacities is carried out by E.ON Gas Storage GmbH.137 The 7Fields storage facility is already connected to the German market area NetConnect via the Austrian-Bavarian Gasline.138 The basis for this assessment is the distribution of shares presented below, including Haidach and 7Fields for the fiscal year 2010:</w:t>
        <w:br/>
        <w:t>Company Share in %</w:t>
        <w:br/>
        <w:t>E.ON 40% - 45%</w:t>
        <w:br/>
        <w:t>WINGAS/GPG 20% - 25%</w:t>
        <w:br/>
        <w:t>VNG 10% - 15%</w:t>
        <w:br/>
        <w:t>RWE 5% - 10%</w:t>
        <w:br/>
        <w:t>GDF Suez 5% - 10%</w:t>
        <w:br/>
        <w:t>EWE 5% - 10%</w:t>
      </w:r>
    </w:p>
    <w:p>
      <w:r>
        <w:t>(213) Even with the inclusion of Haidach and 7Fields, E.ON remains the market leader, followed by WINGAS/GPG and VNG, whose combined share is 5% lower than that of E.ON. Even with the inclusion of Haidach and 7Fields, E.ON has a market share that is more than four times higher than the share of RWE, GDF Suez, and EWE. Given this market structure and taking into account the considerations listed in paragraphs 165 to 170, it is not expected that the present merger will lead to the establishment of a single market dominance by WINGAS/VNG or to the establishment of a joint market dominance by E.ON and WINGAS/VNG.</w:t>
      </w:r>
    </w:p>
    <w:p>
      <w:r>
        <w:t>VII. Fees</w:t>
        <w:br/>
        <w:t>(214) The notification of a merger is subject to fees in accordance with § 80 Abs. 1 Satz 2 Nr. 1 GWB. Similarly, official actions of the antitrust authority under § 40 GWB are subject to fees according to § 80 Abs. 1 Satz 2 Nr. 2 GWB. The antitrust authority may charge fees of up to €50,000, and in cases of particularly significant economic importance and exceptional administrative effort, up to €100,000 (§ 80 Abs. 2 Satz 2 Nr. 1 in conjunction with Satz 3 GWB). The fee for the official action under § 40 GWB is to be credited against the fee for the notification of the merger (§ 80 Abs. 1 Satz 4 GWB).</w:t>
      </w:r>
    </w:p>
    <w:p>
      <w:r>
        <w:t>(215) The amount of the fee is determined by the personnel and material effort of the antitrust authority, taking into account the economic significance of the subject of the fee-based action (§ 80 Abs. 2 Satz 1 GWB). Among the mentioned criteria, the economic significance carries the greatest weight. It arises from the level of domestic revenues of the participating companies in the market affected by the merger, from the interest of the parties in the merger, including the effects of the merger on domestic market conditions, as well as from the expected economic benefits of future cooperation in the domestic market. If the economic significance determined by these criteria corresponds to the average, a medium fee is generally appropriate. This amounts to €25,000 according to the currently applicable fee framework. Adjustments, either increases or decreases, depending on the respective economic significance and the workload, are to be made at the discretion of the antitrust authority.139</w:t>
      </w:r>
    </w:p>
    <w:p>
      <w:r>
        <w:t>(216) The decision-making department attributes a significance to the merger that is above average. The material and personnel effort of the antitrust authority for the merger control review corresponded to this significance. Accordingly, a fee of [...] is appropriate. After crediting the separately charged fee for the notification of the merger project under § 39 Abs. 1 GWB (§ 80 Abs. 1 Satz 4 GWB) of [...], a remaining amount of [...] was to be set for the approval. The fee debtor is, according to § 80 Abs. 6 Satz 1 Nr. 2 GWB, the participant 1 as the notifier.</w:t>
      </w:r>
    </w:p>
    <w:p>
      <w:r>
        <w:t>[...]</w:t>
        <w:br/>
        <w:t>Legal Remedy Information</w:t>
        <w:b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substantiating the appeal is two months. It begins with the delivery of the decision and can be extended upon request by the presiding judge of the appellate court. The appeal must contain a statement indicating the extent to which the decision is being contested and the request for its amendment or annulment, as well as the facts and evidence, which may also be new, on which the appeal is based. The appeal and its substantiation must be signed by a lawyer.</w:t>
      </w:r>
    </w:p>
    <w:p>
      <w:r>
        <w:t>Dr. Felix Engelsing Annette Bangard Dr. Nicole Hacker</w:t>
        <w:br/>
        <w:t>OUTLINE</w:t>
        <w:br/>
        <w:t>I. The Project</w:t>
        <w:br/>
        <w:t>II. Procedural History</w:t>
        <w:br/>
        <w:t>III. The Participating Companies</w:t>
      </w:r>
    </w:p>
    <w:p>
      <w:r>
        <w:rPr>
          <w:b/>
        </w:rPr>
        <w:t>[Pages 70–71]</w:t>
      </w:r>
    </w:p>
    <w:p>
      <w:r>
        <w:t>- 70 -</w:t>
        <w:br/>
        <w:t>1. GPG</w:t>
        <w:br/>
        <w:t>2. Wintershall</w:t>
        <w:br/>
        <w:t>3. VNG</w:t>
        <w:br/>
        <w:t>IV. Scope of the GWB</w:t>
        <w:br/>
        <w:t>V. Merger Control</w:t>
        <w:br/>
        <w:t>1. Development of the Participation and Control Relationships at VNG</w:t>
        <w:br/>
        <w:t>2. Acquisition of a Competitively Significant Influence at VNG by GPG and Wintershall</w:t>
        <w:br/>
        <w:t>a) Possibility of Influence</w:t>
        <w:br/>
        <w:t>b) Mediated through Corporate Law</w:t>
        <w:br/>
        <w:t>c) Competitively Significant</w:t>
        <w:br/>
        <w:t>VI. Competitive Assessment</w:t>
        <w:br/>
        <w:t>1. Exploration, Production, and Sale of Natural Gas</w:t>
        <w:br/>
        <w:t>a) Relevant Market Definition</w:t>
        <w:br/>
        <w:t>b) Geographic Market Definition</w:t>
        <w:br/>
        <w:t>c) No Creation or Strengthening of a Dominant Position</w:t>
        <w:br/>
        <w:t>aa) Exploration, Production, and Sale of Natural Gas – EEA</w:t>
        <w:br/>
        <w:t>bb) Exploration, Production, and Sale of Natural Gas – Germany</w:t>
        <w:br/>
        <w:t>(1) Market Structure and Market Shares</w:t>
        <w:br/>
        <w:t>(2) Individual Market Dominance</w:t>
        <w:br/>
        <w:t>(3) No Creation or Strengthening of Individual Market Dominance</w:t>
        <w:br/>
        <w:t>(4) No Creation or Strengthening of Joint Market Dominance</w:t>
        <w:br/>
        <w:t>2. Supply of Distributors by Supra-Regional Natural Gas Companies</w:t>
        <w:br/>
        <w:t>a) Relevant Market Definition</w:t>
        <w:br/>
        <w:t>b) Geographic Market Definition</w:t>
        <w:br/>
        <w:t>c) No Creation or Strengthening of a Dominant Position</w:t>
        <w:br/>
        <w:t>aa) Supply of Distributors in the ONTRAS Network Area</w:t>
      </w:r>
    </w:p>
    <w:p>
      <w:r>
        <w:t>- 71 -</w:t>
        <w:br/>
        <w:t>bb) Supply of Distributors Nationwide</w:t>
        <w:br/>
        <w:t>3. Supply of Metered End Consumers by Supra-Regional Natural Gas Companies</w:t>
        <w:br/>
        <w:t>a) Relevant Market Definition</w:t>
        <w:br/>
        <w:t>b) Geographic Market Definition</w:t>
        <w:br/>
        <w:t>c) No Creation or Strengthening of a Dominant Position</w:t>
        <w:br/>
        <w:t>aa) Supply of Metered End Consumers in the ONTRAS Network Area</w:t>
        <w:br/>
        <w:t>bb) Supply of Metered End Consumers Nationwide</w:t>
        <w:br/>
        <w:t>4. Operation of Underground Natural Gas Storage Facilities</w:t>
        <w:br/>
        <w:t>a) Relevant Market Definition</w:t>
        <w:br/>
        <w:t>b) Geographic Market Definition</w:t>
        <w:br/>
        <w:t>c) No Creation or Strengthening of a Dominant 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